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F37C9" w14:textId="77777777" w:rsidR="00037C84" w:rsidRPr="00913D84" w:rsidRDefault="00037C84" w:rsidP="00913D84">
      <w:pPr>
        <w:spacing w:after="0" w:line="240" w:lineRule="auto"/>
        <w:jc w:val="both"/>
        <w:rPr>
          <w:sz w:val="20"/>
        </w:rPr>
      </w:pPr>
    </w:p>
    <w:p w14:paraId="4D7BDE34" w14:textId="12D14404" w:rsidR="008D5FE3" w:rsidRPr="00244123" w:rsidRDefault="00244123" w:rsidP="00913D84">
      <w:pPr>
        <w:spacing w:after="0" w:line="240" w:lineRule="auto"/>
        <w:jc w:val="center"/>
        <w:rPr>
          <w:b/>
          <w:sz w:val="24"/>
          <w:szCs w:val="24"/>
        </w:rPr>
      </w:pPr>
      <w:r w:rsidRPr="00244123">
        <w:rPr>
          <w:b/>
          <w:sz w:val="24"/>
          <w:szCs w:val="24"/>
        </w:rPr>
        <w:t>ΠΡΟΛΗΨΗ ΤΩΝ ΕΡΓΑΤΙΚΩΝ ΑΤΥΧΗΜΑΤΩΝ</w:t>
      </w:r>
    </w:p>
    <w:p w14:paraId="240855F9" w14:textId="77777777" w:rsidR="00913D84" w:rsidRPr="00913D84" w:rsidRDefault="00913D84" w:rsidP="00913D84">
      <w:pPr>
        <w:spacing w:after="0" w:line="240" w:lineRule="auto"/>
        <w:jc w:val="center"/>
        <w:rPr>
          <w:b/>
          <w:sz w:val="20"/>
        </w:rPr>
      </w:pPr>
    </w:p>
    <w:p w14:paraId="6ED6E634" w14:textId="77777777" w:rsidR="008D5FE3" w:rsidRPr="00244123" w:rsidRDefault="008D5FE3" w:rsidP="00913D84">
      <w:pPr>
        <w:spacing w:after="0" w:line="240" w:lineRule="auto"/>
        <w:jc w:val="both"/>
        <w:rPr>
          <w:b/>
          <w:szCs w:val="22"/>
        </w:rPr>
      </w:pPr>
      <w:r w:rsidRPr="00244123">
        <w:rPr>
          <w:b/>
          <w:szCs w:val="22"/>
        </w:rPr>
        <w:t>Σύνηθες είδος ατυχήματος — απώλεια ελέγχου μηχανημάτων, εργαλείων και εξοπλισμού χειρισμού στον τομέα των οδικών μεταφορών (χώροι αποθήκευσης, φόρτωσης και εκφόρτωσης)</w:t>
      </w:r>
    </w:p>
    <w:p w14:paraId="454A544C" w14:textId="77777777" w:rsidR="008D5FE3" w:rsidRPr="00913D84" w:rsidRDefault="008D5FE3" w:rsidP="00913D84">
      <w:pPr>
        <w:spacing w:after="0" w:line="240" w:lineRule="auto"/>
        <w:jc w:val="both"/>
        <w:rPr>
          <w:sz w:val="20"/>
        </w:rPr>
      </w:pPr>
    </w:p>
    <w:p w14:paraId="4F90C7BE" w14:textId="77777777" w:rsidR="00820CF9" w:rsidRPr="007D3067" w:rsidRDefault="00820CF9" w:rsidP="00913D84">
      <w:pPr>
        <w:spacing w:after="0" w:line="240" w:lineRule="auto"/>
        <w:jc w:val="both"/>
        <w:rPr>
          <w:b/>
          <w:color w:val="4472C4" w:themeColor="accent5"/>
          <w:sz w:val="14"/>
        </w:rPr>
      </w:pPr>
    </w:p>
    <w:p w14:paraId="004B9F97" w14:textId="77777777" w:rsidR="008D5FE3" w:rsidRPr="00913D84" w:rsidRDefault="002A398D" w:rsidP="00913D84">
      <w:pPr>
        <w:spacing w:after="0" w:line="240" w:lineRule="auto"/>
        <w:jc w:val="both"/>
        <w:rPr>
          <w:b/>
          <w:color w:val="4472C4" w:themeColor="accent5"/>
          <w:sz w:val="20"/>
        </w:rPr>
      </w:pPr>
      <w:r>
        <w:rPr>
          <w:b/>
          <w:color w:val="4472C4" w:themeColor="accent5"/>
          <w:sz w:val="20"/>
        </w:rPr>
        <w:t>Ατυχήματα στον τομέα των οδικών μεταφορών, γιατί;</w:t>
      </w:r>
    </w:p>
    <w:p w14:paraId="703615FB" w14:textId="77777777" w:rsidR="00195BC6" w:rsidRPr="00913D84" w:rsidRDefault="00195BC6" w:rsidP="00913D84">
      <w:pPr>
        <w:spacing w:after="0" w:line="240" w:lineRule="auto"/>
        <w:jc w:val="both"/>
        <w:rPr>
          <w:sz w:val="20"/>
        </w:rPr>
      </w:pPr>
    </w:p>
    <w:p w14:paraId="65F62BE1" w14:textId="77777777" w:rsidR="002A398D" w:rsidRPr="00913D84" w:rsidRDefault="002A398D" w:rsidP="00913D84">
      <w:pPr>
        <w:spacing w:after="0" w:line="240" w:lineRule="auto"/>
        <w:jc w:val="both"/>
        <w:rPr>
          <w:sz w:val="20"/>
        </w:rPr>
      </w:pPr>
      <w:r>
        <w:rPr>
          <w:sz w:val="20"/>
        </w:rPr>
        <w:t xml:space="preserve">Μεγάλος αριθμός σοβαρών και θανατηφόρων ατυχημάτων στον τομέα των οδικών μεταφορών αφορά κυρίως οδηγούς </w:t>
      </w:r>
      <w:proofErr w:type="spellStart"/>
      <w:r>
        <w:rPr>
          <w:sz w:val="20"/>
        </w:rPr>
        <w:t>βαρέων</w:t>
      </w:r>
      <w:proofErr w:type="spellEnd"/>
      <w:r>
        <w:rPr>
          <w:sz w:val="20"/>
        </w:rPr>
        <w:t xml:space="preserve"> φορτηγών ή οχημάτων. </w:t>
      </w:r>
    </w:p>
    <w:p w14:paraId="2FFE3BF8" w14:textId="77777777" w:rsidR="002A398D" w:rsidRPr="00913D84" w:rsidRDefault="002A398D" w:rsidP="00913D84">
      <w:pPr>
        <w:spacing w:after="0" w:line="240" w:lineRule="auto"/>
        <w:jc w:val="both"/>
        <w:rPr>
          <w:sz w:val="20"/>
        </w:rPr>
      </w:pPr>
    </w:p>
    <w:p w14:paraId="474F5BC8" w14:textId="77777777" w:rsidR="002313FA" w:rsidRPr="00913D84" w:rsidRDefault="002A398D" w:rsidP="00913D84">
      <w:pPr>
        <w:spacing w:after="0" w:line="240" w:lineRule="auto"/>
        <w:jc w:val="both"/>
        <w:rPr>
          <w:sz w:val="20"/>
        </w:rPr>
      </w:pPr>
      <w:r>
        <w:rPr>
          <w:sz w:val="20"/>
        </w:rPr>
        <w:t>Είναι σημαντικό, προκειμένου να αποφευχθούν ζημίες και απώλειες ανθρώπινων ζωών λόγω της εργασίας, να προσδιοριστούν οι κύριες αιτίες των εργατικών ατυχημάτων, λαμβανομένων υπόψη των συγκεκριμένων κινδύνων και παραγόντων του τομέα αυτού οι οποίοι ενδέχεται να επηρεάζουν την επέλευση αυτών των ατυχημάτων.</w:t>
      </w:r>
    </w:p>
    <w:p w14:paraId="4A80D475" w14:textId="77777777" w:rsidR="002313FA" w:rsidRPr="00913D84" w:rsidRDefault="002313FA" w:rsidP="00913D84">
      <w:pPr>
        <w:spacing w:after="0" w:line="240" w:lineRule="auto"/>
        <w:jc w:val="both"/>
        <w:rPr>
          <w:sz w:val="20"/>
        </w:rPr>
      </w:pPr>
    </w:p>
    <w:p w14:paraId="4B636D50" w14:textId="77777777" w:rsidR="002313FA" w:rsidRPr="00913D84" w:rsidRDefault="00764023" w:rsidP="00913D84">
      <w:pPr>
        <w:spacing w:after="0" w:line="240" w:lineRule="auto"/>
        <w:jc w:val="both"/>
        <w:rPr>
          <w:sz w:val="20"/>
        </w:rPr>
      </w:pPr>
      <w:r>
        <w:rPr>
          <w:sz w:val="20"/>
        </w:rPr>
        <w:t xml:space="preserve">Οι κύριες αιτίες ατυχημάτων στους χώρους αποθήκευσης και φόρτωσης/εκφόρτωσης είναι: η παραμονή του ατόμου σε επικίνδυνη περιοχή, οι ανεπαρκείς μέθοδοι εργασίας, η αδυναμία προσδιορισμού και εκτίμησης των υφιστάμενων κινδύνων και η απώλεια ελέγχου του μεταφερόμενου φορτίου. </w:t>
      </w:r>
    </w:p>
    <w:p w14:paraId="4065639D" w14:textId="77777777" w:rsidR="00820CF9" w:rsidRPr="007D3067" w:rsidRDefault="00820CF9" w:rsidP="00913D84">
      <w:pPr>
        <w:spacing w:after="0" w:line="240" w:lineRule="auto"/>
        <w:jc w:val="both"/>
        <w:rPr>
          <w:b/>
          <w:color w:val="4472C4" w:themeColor="accent5"/>
          <w:sz w:val="14"/>
        </w:rPr>
      </w:pPr>
    </w:p>
    <w:p w14:paraId="0CAB57CD" w14:textId="77777777" w:rsidR="00913D84" w:rsidRPr="007D3067" w:rsidRDefault="00913D84" w:rsidP="00913D84">
      <w:pPr>
        <w:spacing w:after="0" w:line="240" w:lineRule="auto"/>
        <w:jc w:val="both"/>
        <w:rPr>
          <w:b/>
          <w:color w:val="4472C4" w:themeColor="accent5"/>
          <w:sz w:val="16"/>
        </w:rPr>
      </w:pPr>
    </w:p>
    <w:p w14:paraId="24541E2E" w14:textId="77777777" w:rsidR="002A398D" w:rsidRPr="00913D84" w:rsidRDefault="002A398D" w:rsidP="00913D84">
      <w:pPr>
        <w:spacing w:after="0" w:line="240" w:lineRule="auto"/>
        <w:jc w:val="both"/>
        <w:rPr>
          <w:b/>
          <w:color w:val="4472C4" w:themeColor="accent5"/>
          <w:sz w:val="20"/>
        </w:rPr>
      </w:pPr>
      <w:r>
        <w:rPr>
          <w:b/>
          <w:color w:val="4472C4" w:themeColor="accent5"/>
          <w:sz w:val="20"/>
        </w:rPr>
        <w:t>Ατυχήματα στους χώρους αποθήκευσης, φόρτωσης και εκφόρτωσης</w:t>
      </w:r>
    </w:p>
    <w:p w14:paraId="4A1681DC" w14:textId="77777777" w:rsidR="002A398D" w:rsidRPr="007D3067" w:rsidRDefault="002A398D" w:rsidP="00913D84">
      <w:pPr>
        <w:spacing w:after="0" w:line="240" w:lineRule="auto"/>
        <w:jc w:val="both"/>
        <w:rPr>
          <w:b/>
          <w:color w:val="4472C4" w:themeColor="accent5"/>
          <w:sz w:val="18"/>
        </w:rPr>
      </w:pPr>
    </w:p>
    <w:p w14:paraId="5C80A2C5" w14:textId="77777777" w:rsidR="002A398D" w:rsidRPr="00913D84" w:rsidRDefault="00072211" w:rsidP="00913D84">
      <w:pPr>
        <w:spacing w:after="0" w:line="240" w:lineRule="auto"/>
        <w:jc w:val="both"/>
        <w:rPr>
          <w:sz w:val="20"/>
        </w:rPr>
      </w:pPr>
      <w:r>
        <w:rPr>
          <w:sz w:val="20"/>
        </w:rPr>
        <w:t>Τα ατυχήματα που συμβαίνουν συνήθως σε αυτούς τους χώρους σχετίζονται κυρίως με: εγκλωβισμούς και συνθλίψεις λόγω ανατροπής οχημάτων ή εξοπλισμού εργασίας, εκρήξεις και συγκρούσεις, πτώσεις από ύψος (από καρότσα φορτηγού, ανυψωτική εξέδρα κ.λπ.).</w:t>
      </w:r>
    </w:p>
    <w:p w14:paraId="4DF15534" w14:textId="77777777" w:rsidR="00F25F7A" w:rsidRPr="00913D84" w:rsidRDefault="00F25F7A" w:rsidP="00913D84">
      <w:pPr>
        <w:spacing w:after="0" w:line="240" w:lineRule="auto"/>
        <w:jc w:val="both"/>
        <w:rPr>
          <w:sz w:val="20"/>
        </w:rPr>
      </w:pPr>
    </w:p>
    <w:p w14:paraId="3E5E8C79" w14:textId="77777777" w:rsidR="002A398D" w:rsidRPr="00913D84" w:rsidRDefault="00D56C4F" w:rsidP="00913D84">
      <w:pPr>
        <w:spacing w:after="0" w:line="240" w:lineRule="auto"/>
        <w:jc w:val="both"/>
        <w:rPr>
          <w:sz w:val="20"/>
        </w:rPr>
      </w:pPr>
      <w:r>
        <w:rPr>
          <w:sz w:val="20"/>
        </w:rPr>
        <w:t>Οι κύριες αιτίες είναι η παραμονή του ατόμου σε επικίνδυνη περιοχή (π.χ. σε διασταύρωση οχημάτων ή σε χώρο χειρισμού εμπορευμάτων), η χρήση ακατάλληλων μεθόδων εργασίας και η έλλειψη προσδιορισμού και εκτίμησης των κινδύνων.</w:t>
      </w:r>
    </w:p>
    <w:p w14:paraId="4C3FDCF7" w14:textId="77777777" w:rsidR="002A398D" w:rsidRPr="00913D84" w:rsidRDefault="002A398D" w:rsidP="00913D84">
      <w:pPr>
        <w:spacing w:after="0" w:line="240" w:lineRule="auto"/>
        <w:jc w:val="both"/>
        <w:rPr>
          <w:sz w:val="20"/>
        </w:rPr>
      </w:pPr>
    </w:p>
    <w:p w14:paraId="490CD5DC" w14:textId="77777777" w:rsidR="002A398D" w:rsidRPr="00913D84" w:rsidRDefault="002A398D" w:rsidP="00913D84">
      <w:pPr>
        <w:spacing w:after="0" w:line="240" w:lineRule="auto"/>
        <w:jc w:val="both"/>
        <w:rPr>
          <w:sz w:val="20"/>
        </w:rPr>
      </w:pPr>
      <w:r>
        <w:rPr>
          <w:sz w:val="20"/>
        </w:rPr>
        <w:t>Πολλές από τις επικίνδυνες καταστάσεις που προκύπτουν στις περιοχές φόρτωσης και εκφόρτωσης σχετίζονται με οργανωτικές αίτιες που αφορούν συγκεκριμένα τον τομέα (για παράδειγμα, έλλειψη συντονισμού των επιχειρηματικών δραστηριοτήτων των συμμετεχόντων ή έλλειψη ασφαλών διαδικασιών εργασίας). Είναι ζωτικής σημασίας για την αποτελεσματική πρόληψη οι εταιρείες που διαχειρίζονται αυτού του είδους τις μεταφορές να αντιμετωπίζουν τις αιτίες αυτές.</w:t>
      </w:r>
    </w:p>
    <w:p w14:paraId="0C752281" w14:textId="77777777" w:rsidR="002A398D" w:rsidRPr="007D3067" w:rsidRDefault="002A398D" w:rsidP="00913D84">
      <w:pPr>
        <w:spacing w:after="0" w:line="240" w:lineRule="auto"/>
        <w:jc w:val="both"/>
        <w:rPr>
          <w:sz w:val="14"/>
        </w:rPr>
      </w:pPr>
    </w:p>
    <w:p w14:paraId="04B97094" w14:textId="77777777" w:rsidR="002A398D" w:rsidRPr="00913D84" w:rsidRDefault="002A398D" w:rsidP="00913D84">
      <w:pPr>
        <w:spacing w:after="0" w:line="240" w:lineRule="auto"/>
        <w:jc w:val="both"/>
        <w:rPr>
          <w:b/>
          <w:color w:val="2E74B5" w:themeColor="accent1" w:themeShade="BF"/>
          <w:sz w:val="20"/>
        </w:rPr>
      </w:pPr>
    </w:p>
    <w:p w14:paraId="59209CB4" w14:textId="77777777" w:rsidR="002A398D" w:rsidRPr="00B27EDD" w:rsidRDefault="002A398D" w:rsidP="00913D84">
      <w:pPr>
        <w:spacing w:after="0" w:line="240" w:lineRule="auto"/>
        <w:jc w:val="both"/>
        <w:rPr>
          <w:b/>
          <w:color w:val="4472C4" w:themeColor="accent5"/>
          <w:sz w:val="20"/>
        </w:rPr>
      </w:pPr>
      <w:r>
        <w:rPr>
          <w:b/>
          <w:color w:val="4472C4" w:themeColor="accent5"/>
          <w:sz w:val="20"/>
        </w:rPr>
        <w:t>1. Προσδιορισμός και εκτίμηση των κινδύνων</w:t>
      </w:r>
    </w:p>
    <w:p w14:paraId="53289568" w14:textId="77777777" w:rsidR="0072615C" w:rsidRDefault="0072615C" w:rsidP="00913D84">
      <w:pPr>
        <w:spacing w:after="0" w:line="240" w:lineRule="auto"/>
        <w:jc w:val="both"/>
        <w:rPr>
          <w:sz w:val="20"/>
        </w:rPr>
      </w:pPr>
    </w:p>
    <w:p w14:paraId="56F8A5D3" w14:textId="77777777" w:rsidR="000A09B8" w:rsidRDefault="002A398D" w:rsidP="00913D84">
      <w:pPr>
        <w:spacing w:after="0" w:line="240" w:lineRule="auto"/>
        <w:jc w:val="both"/>
        <w:rPr>
          <w:sz w:val="20"/>
        </w:rPr>
      </w:pPr>
      <w:r>
        <w:rPr>
          <w:sz w:val="20"/>
        </w:rPr>
        <w:t>Μεταξύ των κύριων παραγόντων κινδύνου που μπορούν να επηρεάσουν την επέλευση ατυχημάτων στις περιοχές φόρτωσης και εκφόρτωσης, προσδιορίζουμε τους εξής:</w:t>
      </w:r>
    </w:p>
    <w:p w14:paraId="1BFE70D6" w14:textId="77777777" w:rsidR="0072615C" w:rsidRPr="000A2CE0" w:rsidRDefault="0072615C" w:rsidP="00913D84">
      <w:pPr>
        <w:spacing w:after="0" w:line="240" w:lineRule="auto"/>
        <w:jc w:val="both"/>
        <w:rPr>
          <w:sz w:val="4"/>
        </w:rPr>
      </w:pPr>
    </w:p>
    <w:tbl>
      <w:tblPr>
        <w:tblStyle w:val="TableGrid"/>
        <w:tblW w:w="0" w:type="auto"/>
        <w:jc w:val="center"/>
        <w:tblLook w:val="04A0" w:firstRow="1" w:lastRow="0" w:firstColumn="1" w:lastColumn="0" w:noHBand="0" w:noVBand="1"/>
      </w:tblPr>
      <w:tblGrid>
        <w:gridCol w:w="3006"/>
        <w:gridCol w:w="2434"/>
        <w:gridCol w:w="2434"/>
        <w:gridCol w:w="2434"/>
      </w:tblGrid>
      <w:tr w:rsidR="0072615C" w:rsidRPr="007D3067" w14:paraId="06E96D44" w14:textId="77777777" w:rsidTr="007D3067">
        <w:trPr>
          <w:jc w:val="center"/>
        </w:trPr>
        <w:tc>
          <w:tcPr>
            <w:tcW w:w="3006" w:type="dxa"/>
          </w:tcPr>
          <w:p w14:paraId="0B3B8BC6" w14:textId="77777777" w:rsidR="000A2CE0" w:rsidRDefault="007D3067" w:rsidP="007D3067">
            <w:pPr>
              <w:jc w:val="center"/>
              <w:rPr>
                <w:b/>
                <w:color w:val="2E74B5" w:themeColor="accent1" w:themeShade="BF"/>
                <w:sz w:val="16"/>
              </w:rPr>
            </w:pPr>
            <w:r>
              <w:rPr>
                <w:b/>
                <w:color w:val="2E74B5" w:themeColor="accent1" w:themeShade="BF"/>
                <w:sz w:val="16"/>
              </w:rPr>
              <w:t>Παράγοντες</w:t>
            </w:r>
          </w:p>
          <w:p w14:paraId="066DF018" w14:textId="77777777" w:rsidR="00474515" w:rsidRPr="007D3067" w:rsidRDefault="007D3067" w:rsidP="007D3067">
            <w:pPr>
              <w:jc w:val="center"/>
              <w:rPr>
                <w:b/>
                <w:color w:val="2E74B5" w:themeColor="accent1" w:themeShade="BF"/>
                <w:sz w:val="16"/>
              </w:rPr>
            </w:pPr>
            <w:r>
              <w:rPr>
                <w:b/>
                <w:color w:val="2E74B5" w:themeColor="accent1" w:themeShade="BF"/>
                <w:sz w:val="16"/>
              </w:rPr>
              <w:t xml:space="preserve"> ασφάλειας</w:t>
            </w:r>
          </w:p>
          <w:p w14:paraId="42A06EEF" w14:textId="77777777" w:rsidR="00474515" w:rsidRDefault="007D3067" w:rsidP="007D3067">
            <w:pPr>
              <w:rPr>
                <w:sz w:val="16"/>
              </w:rPr>
            </w:pPr>
            <w:r>
              <w:rPr>
                <w:sz w:val="16"/>
              </w:rPr>
              <w:t>Έλλειψη διαχωρισμού και σήμανσης των χώρων για πεζούς και οχήματα</w:t>
            </w:r>
          </w:p>
          <w:p w14:paraId="1FCC92BB" w14:textId="77777777" w:rsidR="000A2CE0" w:rsidRPr="000A2CE0" w:rsidRDefault="000A2CE0" w:rsidP="007D3067">
            <w:pPr>
              <w:rPr>
                <w:sz w:val="4"/>
              </w:rPr>
            </w:pPr>
          </w:p>
          <w:p w14:paraId="0625C37D" w14:textId="77777777" w:rsidR="00474515" w:rsidRDefault="00474515" w:rsidP="007D3067">
            <w:pPr>
              <w:rPr>
                <w:color w:val="44546A" w:themeColor="text2"/>
                <w:sz w:val="16"/>
              </w:rPr>
            </w:pPr>
            <w:r>
              <w:rPr>
                <w:color w:val="44546A" w:themeColor="text2"/>
                <w:sz w:val="16"/>
              </w:rPr>
              <w:t>Περιορισμένος χώρος εργασίας</w:t>
            </w:r>
          </w:p>
          <w:p w14:paraId="71C944AF" w14:textId="77777777" w:rsidR="000A2CE0" w:rsidRPr="000A2CE0" w:rsidRDefault="000A2CE0" w:rsidP="007D3067">
            <w:pPr>
              <w:rPr>
                <w:color w:val="44546A" w:themeColor="text2"/>
                <w:sz w:val="4"/>
              </w:rPr>
            </w:pPr>
          </w:p>
          <w:p w14:paraId="515CE935" w14:textId="77777777" w:rsidR="00474515" w:rsidRDefault="00474515" w:rsidP="007D3067">
            <w:pPr>
              <w:rPr>
                <w:sz w:val="16"/>
              </w:rPr>
            </w:pPr>
            <w:r>
              <w:rPr>
                <w:sz w:val="16"/>
              </w:rPr>
              <w:t>Ανεπαρκής τοποθέτηση πινακίδων στους χώρους εργασίας</w:t>
            </w:r>
          </w:p>
          <w:p w14:paraId="746B6500" w14:textId="77777777" w:rsidR="000A2CE0" w:rsidRPr="000A2CE0" w:rsidRDefault="000A2CE0" w:rsidP="007D3067">
            <w:pPr>
              <w:rPr>
                <w:sz w:val="4"/>
              </w:rPr>
            </w:pPr>
          </w:p>
          <w:p w14:paraId="570EAD88" w14:textId="77777777" w:rsidR="000A2CE0" w:rsidRDefault="00474515" w:rsidP="007D3067">
            <w:pPr>
              <w:rPr>
                <w:color w:val="44546A" w:themeColor="text2"/>
                <w:sz w:val="16"/>
              </w:rPr>
            </w:pPr>
            <w:r>
              <w:rPr>
                <w:color w:val="44546A" w:themeColor="text2"/>
                <w:sz w:val="16"/>
              </w:rPr>
              <w:lastRenderedPageBreak/>
              <w:t>Έλλειψη τάξης και καθαριότητας</w:t>
            </w:r>
          </w:p>
          <w:p w14:paraId="6924100C" w14:textId="77777777" w:rsidR="007D3067" w:rsidRPr="000A2CE0" w:rsidRDefault="007D3067" w:rsidP="007D3067">
            <w:pPr>
              <w:rPr>
                <w:color w:val="44546A" w:themeColor="text2"/>
                <w:sz w:val="4"/>
              </w:rPr>
            </w:pPr>
            <w:r>
              <w:rPr>
                <w:color w:val="44546A" w:themeColor="text2"/>
                <w:sz w:val="18"/>
              </w:rPr>
              <w:t xml:space="preserve"> </w:t>
            </w:r>
          </w:p>
          <w:p w14:paraId="27888DCD" w14:textId="77777777" w:rsidR="007D3067" w:rsidRPr="007D3067" w:rsidRDefault="007D3067" w:rsidP="000A2CE0">
            <w:pPr>
              <w:rPr>
                <w:sz w:val="16"/>
              </w:rPr>
            </w:pPr>
            <w:r>
              <w:rPr>
                <w:sz w:val="16"/>
              </w:rPr>
              <w:t>Έλλειψη ορατότητας και ανεπαρκή μέτρα ασφαλείας σε χώρους που προορίζονται για φόρτωση/εκφόρτωση, όπως αποβάθρες φόρτωσης κ.λπ.</w:t>
            </w:r>
          </w:p>
        </w:tc>
        <w:tc>
          <w:tcPr>
            <w:tcW w:w="2434" w:type="dxa"/>
          </w:tcPr>
          <w:p w14:paraId="3CB4CB76" w14:textId="77777777" w:rsidR="000A2CE0" w:rsidRPr="0028139F" w:rsidRDefault="007D3067" w:rsidP="007D3067">
            <w:pPr>
              <w:jc w:val="center"/>
              <w:rPr>
                <w:b/>
                <w:color w:val="2E74B5" w:themeColor="accent1" w:themeShade="BF"/>
                <w:sz w:val="16"/>
              </w:rPr>
            </w:pPr>
            <w:r>
              <w:rPr>
                <w:b/>
                <w:color w:val="2E74B5" w:themeColor="accent1" w:themeShade="BF"/>
                <w:sz w:val="16"/>
              </w:rPr>
              <w:lastRenderedPageBreak/>
              <w:t xml:space="preserve">Ψυχοκοινωνικοί </w:t>
            </w:r>
          </w:p>
          <w:p w14:paraId="7EEE4D79" w14:textId="77777777" w:rsidR="007D3067" w:rsidRPr="0028139F" w:rsidRDefault="007D3067" w:rsidP="007D3067">
            <w:pPr>
              <w:jc w:val="center"/>
              <w:rPr>
                <w:b/>
                <w:color w:val="2E74B5" w:themeColor="accent1" w:themeShade="BF"/>
                <w:sz w:val="16"/>
              </w:rPr>
            </w:pPr>
            <w:r>
              <w:rPr>
                <w:b/>
                <w:color w:val="2E74B5" w:themeColor="accent1" w:themeShade="BF"/>
                <w:sz w:val="16"/>
              </w:rPr>
              <w:t>παράγοντες</w:t>
            </w:r>
          </w:p>
          <w:p w14:paraId="171F1278" w14:textId="77777777" w:rsidR="007D3067" w:rsidRPr="0028139F" w:rsidRDefault="007D3067" w:rsidP="007D3067">
            <w:pPr>
              <w:rPr>
                <w:color w:val="44546A" w:themeColor="text2"/>
                <w:sz w:val="16"/>
              </w:rPr>
            </w:pPr>
            <w:r>
              <w:rPr>
                <w:color w:val="44546A" w:themeColor="text2"/>
                <w:sz w:val="16"/>
              </w:rPr>
              <w:t xml:space="preserve">Πίεση χρόνου </w:t>
            </w:r>
          </w:p>
          <w:p w14:paraId="1E1454A5" w14:textId="77777777" w:rsidR="000A2CE0" w:rsidRPr="0028139F" w:rsidRDefault="000A2CE0" w:rsidP="007D3067">
            <w:pPr>
              <w:rPr>
                <w:color w:val="44546A" w:themeColor="text2"/>
                <w:sz w:val="4"/>
              </w:rPr>
            </w:pPr>
          </w:p>
          <w:p w14:paraId="0D00099F" w14:textId="77777777" w:rsidR="007D3067" w:rsidRPr="0028139F" w:rsidRDefault="007D3067" w:rsidP="007D3067">
            <w:pPr>
              <w:rPr>
                <w:sz w:val="16"/>
              </w:rPr>
            </w:pPr>
            <w:r>
              <w:rPr>
                <w:sz w:val="16"/>
              </w:rPr>
              <w:t>Διανοητική κόπωση</w:t>
            </w:r>
          </w:p>
          <w:p w14:paraId="557DDDC5" w14:textId="77777777" w:rsidR="000A2CE0" w:rsidRPr="0028139F" w:rsidRDefault="000A2CE0" w:rsidP="007D3067">
            <w:pPr>
              <w:rPr>
                <w:sz w:val="4"/>
              </w:rPr>
            </w:pPr>
          </w:p>
          <w:p w14:paraId="58B1B392" w14:textId="77777777" w:rsidR="000A2CE0" w:rsidRDefault="007D3067" w:rsidP="007D3067">
            <w:pPr>
              <w:rPr>
                <w:color w:val="44546A" w:themeColor="text2"/>
                <w:sz w:val="16"/>
              </w:rPr>
            </w:pPr>
            <w:r>
              <w:rPr>
                <w:color w:val="44546A" w:themeColor="text2"/>
                <w:sz w:val="16"/>
              </w:rPr>
              <w:t>Ευθύνη</w:t>
            </w:r>
          </w:p>
          <w:p w14:paraId="3442BC2F" w14:textId="77777777" w:rsidR="007D3067" w:rsidRPr="007D3067" w:rsidRDefault="007D3067" w:rsidP="007D3067">
            <w:pPr>
              <w:rPr>
                <w:sz w:val="16"/>
              </w:rPr>
            </w:pPr>
            <w:r>
              <w:rPr>
                <w:sz w:val="16"/>
              </w:rPr>
              <w:t xml:space="preserve"> </w:t>
            </w:r>
          </w:p>
          <w:p w14:paraId="7F3A303C" w14:textId="77777777" w:rsidR="007D3067" w:rsidRDefault="007D3067" w:rsidP="007D3067">
            <w:pPr>
              <w:rPr>
                <w:sz w:val="16"/>
              </w:rPr>
            </w:pPr>
            <w:r>
              <w:rPr>
                <w:sz w:val="16"/>
              </w:rPr>
              <w:t>Έλλειψη αυτονομίας</w:t>
            </w:r>
          </w:p>
          <w:p w14:paraId="765973D7" w14:textId="77777777" w:rsidR="000A2CE0" w:rsidRPr="000A2CE0" w:rsidRDefault="000A2CE0" w:rsidP="007D3067">
            <w:pPr>
              <w:rPr>
                <w:sz w:val="4"/>
              </w:rPr>
            </w:pPr>
          </w:p>
          <w:p w14:paraId="60BDFDA8" w14:textId="77777777" w:rsidR="007D3067" w:rsidRPr="007D3067" w:rsidRDefault="007D3067" w:rsidP="007D3067">
            <w:pPr>
              <w:rPr>
                <w:color w:val="44546A" w:themeColor="text2"/>
                <w:sz w:val="16"/>
              </w:rPr>
            </w:pPr>
            <w:r>
              <w:rPr>
                <w:color w:val="44546A" w:themeColor="text2"/>
                <w:sz w:val="16"/>
              </w:rPr>
              <w:lastRenderedPageBreak/>
              <w:t>Έλλειψη κατάλληλου συντονισμού κατά τη φόρτωση/εκφόρτωση</w:t>
            </w:r>
          </w:p>
          <w:p w14:paraId="73B90E4A" w14:textId="77777777" w:rsidR="007D3067" w:rsidRPr="007D3067" w:rsidRDefault="007D3067" w:rsidP="007D3067">
            <w:pPr>
              <w:rPr>
                <w:sz w:val="16"/>
              </w:rPr>
            </w:pPr>
          </w:p>
          <w:p w14:paraId="1D661B2E" w14:textId="77777777" w:rsidR="0072615C" w:rsidRPr="007D3067" w:rsidRDefault="0072615C" w:rsidP="007D3067">
            <w:pPr>
              <w:jc w:val="both"/>
              <w:rPr>
                <w:sz w:val="16"/>
              </w:rPr>
            </w:pPr>
          </w:p>
        </w:tc>
        <w:tc>
          <w:tcPr>
            <w:tcW w:w="2434" w:type="dxa"/>
          </w:tcPr>
          <w:p w14:paraId="712D7592" w14:textId="77777777" w:rsidR="000A2CE0" w:rsidRDefault="007D3067" w:rsidP="007D3067">
            <w:pPr>
              <w:jc w:val="center"/>
              <w:rPr>
                <w:b/>
                <w:color w:val="2E74B5" w:themeColor="accent1" w:themeShade="BF"/>
                <w:sz w:val="16"/>
              </w:rPr>
            </w:pPr>
            <w:r>
              <w:rPr>
                <w:b/>
                <w:color w:val="2E74B5" w:themeColor="accent1" w:themeShade="BF"/>
                <w:sz w:val="16"/>
              </w:rPr>
              <w:lastRenderedPageBreak/>
              <w:t xml:space="preserve">Εργονομικοί </w:t>
            </w:r>
          </w:p>
          <w:p w14:paraId="78045547" w14:textId="77777777" w:rsidR="007D3067" w:rsidRPr="007D3067" w:rsidRDefault="007D3067" w:rsidP="007D3067">
            <w:pPr>
              <w:jc w:val="center"/>
              <w:rPr>
                <w:b/>
                <w:sz w:val="16"/>
              </w:rPr>
            </w:pPr>
            <w:r>
              <w:rPr>
                <w:b/>
                <w:color w:val="2E74B5" w:themeColor="accent1" w:themeShade="BF"/>
                <w:sz w:val="16"/>
              </w:rPr>
              <w:t>παράγοντες</w:t>
            </w:r>
          </w:p>
          <w:p w14:paraId="59486CB8" w14:textId="77777777" w:rsidR="007D3067" w:rsidRDefault="007D3067" w:rsidP="007D3067">
            <w:pPr>
              <w:jc w:val="both"/>
              <w:rPr>
                <w:sz w:val="16"/>
              </w:rPr>
            </w:pPr>
            <w:r>
              <w:rPr>
                <w:sz w:val="16"/>
              </w:rPr>
              <w:t>Μυοσκελετικές παθήσεις</w:t>
            </w:r>
          </w:p>
          <w:p w14:paraId="4A7FA649" w14:textId="77777777" w:rsidR="000A2CE0" w:rsidRPr="000A2CE0" w:rsidRDefault="000A2CE0" w:rsidP="007D3067">
            <w:pPr>
              <w:jc w:val="both"/>
              <w:rPr>
                <w:sz w:val="4"/>
              </w:rPr>
            </w:pPr>
          </w:p>
          <w:p w14:paraId="1E1B1763" w14:textId="77777777" w:rsidR="007D3067" w:rsidRDefault="007D3067" w:rsidP="007D3067">
            <w:pPr>
              <w:jc w:val="both"/>
              <w:rPr>
                <w:color w:val="44546A" w:themeColor="text2"/>
                <w:sz w:val="16"/>
              </w:rPr>
            </w:pPr>
            <w:r>
              <w:rPr>
                <w:color w:val="44546A" w:themeColor="text2"/>
                <w:sz w:val="16"/>
              </w:rPr>
              <w:t>Υπερβολική προσπάθεια</w:t>
            </w:r>
          </w:p>
          <w:p w14:paraId="105CF4C7" w14:textId="77777777" w:rsidR="000A2CE0" w:rsidRPr="000A2CE0" w:rsidRDefault="000A2CE0" w:rsidP="007D3067">
            <w:pPr>
              <w:jc w:val="both"/>
              <w:rPr>
                <w:color w:val="44546A" w:themeColor="text2"/>
                <w:sz w:val="4"/>
              </w:rPr>
            </w:pPr>
          </w:p>
          <w:p w14:paraId="59273887" w14:textId="77777777" w:rsidR="007D3067" w:rsidRPr="007D3067" w:rsidRDefault="007D3067" w:rsidP="007D3067">
            <w:pPr>
              <w:jc w:val="both"/>
              <w:rPr>
                <w:sz w:val="16"/>
              </w:rPr>
            </w:pPr>
            <w:r>
              <w:rPr>
                <w:sz w:val="16"/>
              </w:rPr>
              <w:t>Οπτική κόπωση</w:t>
            </w:r>
          </w:p>
          <w:p w14:paraId="50B082C3" w14:textId="77777777" w:rsidR="0072615C" w:rsidRPr="007D3067" w:rsidRDefault="0072615C" w:rsidP="007D3067">
            <w:pPr>
              <w:jc w:val="both"/>
              <w:rPr>
                <w:sz w:val="16"/>
              </w:rPr>
            </w:pPr>
          </w:p>
        </w:tc>
        <w:tc>
          <w:tcPr>
            <w:tcW w:w="2434" w:type="dxa"/>
          </w:tcPr>
          <w:p w14:paraId="1E954603" w14:textId="77777777" w:rsidR="000A2CE0" w:rsidRDefault="007D3067" w:rsidP="007D3067">
            <w:pPr>
              <w:jc w:val="center"/>
              <w:rPr>
                <w:b/>
                <w:color w:val="2E74B5" w:themeColor="accent1" w:themeShade="BF"/>
                <w:sz w:val="16"/>
              </w:rPr>
            </w:pPr>
            <w:r>
              <w:rPr>
                <w:b/>
                <w:color w:val="2E74B5" w:themeColor="accent1" w:themeShade="BF"/>
                <w:sz w:val="16"/>
              </w:rPr>
              <w:t xml:space="preserve">Ατομικοί </w:t>
            </w:r>
          </w:p>
          <w:p w14:paraId="5FABAC64" w14:textId="77777777" w:rsidR="007D3067" w:rsidRPr="007D3067" w:rsidRDefault="007D3067" w:rsidP="007D3067">
            <w:pPr>
              <w:jc w:val="center"/>
              <w:rPr>
                <w:b/>
                <w:sz w:val="16"/>
              </w:rPr>
            </w:pPr>
            <w:r>
              <w:rPr>
                <w:b/>
                <w:color w:val="2E74B5" w:themeColor="accent1" w:themeShade="BF"/>
                <w:sz w:val="16"/>
              </w:rPr>
              <w:t>παράγοντες</w:t>
            </w:r>
          </w:p>
          <w:p w14:paraId="58016739" w14:textId="77777777" w:rsidR="007D3067" w:rsidRDefault="007D3067" w:rsidP="007D3067">
            <w:pPr>
              <w:jc w:val="both"/>
              <w:rPr>
                <w:color w:val="44546A" w:themeColor="text2"/>
                <w:sz w:val="16"/>
              </w:rPr>
            </w:pPr>
            <w:r>
              <w:rPr>
                <w:color w:val="44546A" w:themeColor="text2"/>
                <w:sz w:val="16"/>
              </w:rPr>
              <w:t xml:space="preserve">Απόσπαση προσοχής </w:t>
            </w:r>
          </w:p>
          <w:p w14:paraId="48E1C8F4" w14:textId="77777777" w:rsidR="000A2CE0" w:rsidRPr="000A2CE0" w:rsidRDefault="000A2CE0" w:rsidP="007D3067">
            <w:pPr>
              <w:jc w:val="both"/>
              <w:rPr>
                <w:color w:val="44546A" w:themeColor="text2"/>
                <w:sz w:val="4"/>
              </w:rPr>
            </w:pPr>
          </w:p>
          <w:p w14:paraId="18E70AEA" w14:textId="77777777" w:rsidR="007D3067" w:rsidRDefault="007D3067" w:rsidP="007D3067">
            <w:pPr>
              <w:jc w:val="both"/>
              <w:rPr>
                <w:sz w:val="16"/>
              </w:rPr>
            </w:pPr>
            <w:r>
              <w:rPr>
                <w:sz w:val="16"/>
              </w:rPr>
              <w:t xml:space="preserve">Επικίνδυνη συμπεριφορά </w:t>
            </w:r>
          </w:p>
          <w:p w14:paraId="729A776A" w14:textId="77777777" w:rsidR="000A2CE0" w:rsidRPr="000A2CE0" w:rsidRDefault="000A2CE0" w:rsidP="007D3067">
            <w:pPr>
              <w:jc w:val="both"/>
              <w:rPr>
                <w:sz w:val="4"/>
              </w:rPr>
            </w:pPr>
          </w:p>
          <w:p w14:paraId="2AE4177E" w14:textId="77777777" w:rsidR="007D3067" w:rsidRDefault="007D3067" w:rsidP="007D3067">
            <w:pPr>
              <w:jc w:val="both"/>
              <w:rPr>
                <w:color w:val="44546A" w:themeColor="text2"/>
                <w:sz w:val="16"/>
              </w:rPr>
            </w:pPr>
            <w:r>
              <w:rPr>
                <w:color w:val="44546A" w:themeColor="text2"/>
                <w:sz w:val="16"/>
              </w:rPr>
              <w:t xml:space="preserve">Κόπωση ή υπνηλία </w:t>
            </w:r>
          </w:p>
          <w:p w14:paraId="0B660B87" w14:textId="77777777" w:rsidR="000A2CE0" w:rsidRPr="000A2CE0" w:rsidRDefault="000A2CE0" w:rsidP="007D3067">
            <w:pPr>
              <w:jc w:val="both"/>
              <w:rPr>
                <w:sz w:val="4"/>
              </w:rPr>
            </w:pPr>
          </w:p>
          <w:p w14:paraId="64D4E9D8" w14:textId="77777777" w:rsidR="007D3067" w:rsidRDefault="007D3067" w:rsidP="007D3067">
            <w:pPr>
              <w:jc w:val="both"/>
              <w:rPr>
                <w:sz w:val="16"/>
              </w:rPr>
            </w:pPr>
            <w:r>
              <w:rPr>
                <w:sz w:val="16"/>
              </w:rPr>
              <w:t>Χρήση ουσιών που μπορούν να επηρεάσουν τη φυσική κατάσταση</w:t>
            </w:r>
          </w:p>
          <w:p w14:paraId="571BFF53" w14:textId="77777777" w:rsidR="000A2CE0" w:rsidRPr="000A2CE0" w:rsidRDefault="000A2CE0" w:rsidP="007D3067">
            <w:pPr>
              <w:jc w:val="both"/>
              <w:rPr>
                <w:sz w:val="4"/>
              </w:rPr>
            </w:pPr>
          </w:p>
          <w:p w14:paraId="681EF6A8" w14:textId="77777777" w:rsidR="0072615C" w:rsidRPr="007D3067" w:rsidRDefault="007D3067" w:rsidP="007D3067">
            <w:pPr>
              <w:jc w:val="both"/>
              <w:rPr>
                <w:sz w:val="16"/>
              </w:rPr>
            </w:pPr>
            <w:r>
              <w:rPr>
                <w:color w:val="44546A" w:themeColor="text2"/>
                <w:sz w:val="16"/>
              </w:rPr>
              <w:lastRenderedPageBreak/>
              <w:t>Προβλήματα υγείας</w:t>
            </w:r>
          </w:p>
        </w:tc>
      </w:tr>
    </w:tbl>
    <w:p w14:paraId="44118233" w14:textId="77777777" w:rsidR="0072615C" w:rsidRDefault="0072615C" w:rsidP="00913D84">
      <w:pPr>
        <w:spacing w:after="0" w:line="240" w:lineRule="auto"/>
        <w:jc w:val="both"/>
        <w:rPr>
          <w:sz w:val="20"/>
        </w:rPr>
      </w:pPr>
    </w:p>
    <w:p w14:paraId="6EBCB6B7" w14:textId="77777777" w:rsidR="002A398D" w:rsidRPr="0072615C" w:rsidRDefault="0072615C" w:rsidP="00913D84">
      <w:pPr>
        <w:spacing w:after="0" w:line="240" w:lineRule="auto"/>
        <w:jc w:val="both"/>
        <w:rPr>
          <w:rFonts w:eastAsia="Verdana" w:cs="Verdana"/>
          <w:b/>
          <w:color w:val="4472C4" w:themeColor="accent5"/>
          <w:sz w:val="20"/>
        </w:rPr>
      </w:pPr>
      <w:r>
        <w:rPr>
          <w:b/>
          <w:color w:val="4472C4" w:themeColor="accent5"/>
          <w:sz w:val="20"/>
        </w:rPr>
        <w:t>2. Μέτρα πρόληψης</w:t>
      </w:r>
    </w:p>
    <w:p w14:paraId="58BA82AA" w14:textId="77777777" w:rsidR="002A398D" w:rsidRPr="00913D84" w:rsidRDefault="002A398D" w:rsidP="00913D84">
      <w:pPr>
        <w:spacing w:after="0" w:line="240" w:lineRule="auto"/>
        <w:jc w:val="both"/>
        <w:rPr>
          <w:b/>
          <w:color w:val="2E74B5" w:themeColor="accent1" w:themeShade="BF"/>
          <w:sz w:val="20"/>
        </w:rPr>
      </w:pPr>
    </w:p>
    <w:p w14:paraId="06339B16" w14:textId="77777777" w:rsidR="002A398D" w:rsidRPr="00913D84" w:rsidRDefault="002A398D" w:rsidP="00913D84">
      <w:pPr>
        <w:spacing w:after="0" w:line="240" w:lineRule="auto"/>
        <w:jc w:val="both"/>
        <w:rPr>
          <w:sz w:val="20"/>
        </w:rPr>
      </w:pPr>
      <w:r>
        <w:rPr>
          <w:sz w:val="20"/>
        </w:rPr>
        <w:t>Μετά την ορθή εκτίμηση των κινδύνων, αυτοί πρέπει να αντιμετωπιστούν. Στο πλαίσιο αυτό, η εταιρεία που προμηθεύει και παραλαμβάνει τα εμπορεύματα, η μεταφορική εταιρεία και ο οδηγός θα πρέπει να λάβουν τα ακόλουθα μέτρα:</w:t>
      </w:r>
    </w:p>
    <w:p w14:paraId="04D160FB" w14:textId="77777777" w:rsidR="002A398D" w:rsidRPr="00913D84" w:rsidRDefault="002A398D" w:rsidP="00913D84">
      <w:pPr>
        <w:spacing w:after="0" w:line="240" w:lineRule="auto"/>
        <w:jc w:val="both"/>
        <w:rPr>
          <w:sz w:val="20"/>
        </w:rPr>
      </w:pPr>
    </w:p>
    <w:p w14:paraId="6F822352" w14:textId="77777777" w:rsidR="002A398D" w:rsidRPr="0072615C" w:rsidRDefault="002A398D" w:rsidP="00913D84">
      <w:pPr>
        <w:spacing w:after="0" w:line="240" w:lineRule="auto"/>
        <w:jc w:val="both"/>
        <w:rPr>
          <w:color w:val="4472C4" w:themeColor="accent5"/>
          <w:sz w:val="20"/>
        </w:rPr>
      </w:pPr>
      <w:r>
        <w:rPr>
          <w:color w:val="4472C4" w:themeColor="accent5"/>
          <w:sz w:val="20"/>
        </w:rPr>
        <w:t>Εταιρεία που προμηθεύει/παραλαμβάνει τα εμπορεύματα</w:t>
      </w:r>
    </w:p>
    <w:p w14:paraId="6E91EC15" w14:textId="1C2384AC" w:rsidR="002A398D" w:rsidRPr="00B27EDD" w:rsidRDefault="002A398D" w:rsidP="00B27EDD">
      <w:pPr>
        <w:pStyle w:val="ListParagraph"/>
        <w:numPr>
          <w:ilvl w:val="0"/>
          <w:numId w:val="20"/>
        </w:numPr>
        <w:spacing w:after="0" w:line="240" w:lineRule="auto"/>
        <w:jc w:val="both"/>
        <w:rPr>
          <w:sz w:val="20"/>
        </w:rPr>
      </w:pPr>
      <w:r>
        <w:rPr>
          <w:sz w:val="20"/>
        </w:rPr>
        <w:t>Συντονισμός των επιχειρηματικών δραστηριοτήτων μεταξύ των συμμετεχουσών εταιρειών</w:t>
      </w:r>
      <w:r w:rsidR="000D2847">
        <w:rPr>
          <w:sz w:val="20"/>
        </w:rPr>
        <w:t>.</w:t>
      </w:r>
    </w:p>
    <w:p w14:paraId="6F1AE606" w14:textId="19A56F76" w:rsidR="002A398D" w:rsidRPr="00B27EDD" w:rsidRDefault="002A398D" w:rsidP="00B27EDD">
      <w:pPr>
        <w:pStyle w:val="ListParagraph"/>
        <w:numPr>
          <w:ilvl w:val="0"/>
          <w:numId w:val="20"/>
        </w:numPr>
        <w:spacing w:after="0" w:line="240" w:lineRule="auto"/>
        <w:jc w:val="both"/>
        <w:rPr>
          <w:sz w:val="20"/>
        </w:rPr>
      </w:pPr>
      <w:r>
        <w:rPr>
          <w:sz w:val="20"/>
        </w:rPr>
        <w:t xml:space="preserve">Ύπαρξη ασφαλών χώρων φόρτωσης και εκφόρτωσης, με επαρκή σήμανση, συμπεριλαμβανομένων των </w:t>
      </w:r>
      <w:proofErr w:type="spellStart"/>
      <w:r>
        <w:rPr>
          <w:sz w:val="20"/>
        </w:rPr>
        <w:t>αποβαθρών</w:t>
      </w:r>
      <w:proofErr w:type="spellEnd"/>
      <w:r>
        <w:rPr>
          <w:sz w:val="20"/>
        </w:rPr>
        <w:t xml:space="preserve"> φόρτωσης και εκφόρτωσης</w:t>
      </w:r>
      <w:r w:rsidR="000D2847">
        <w:rPr>
          <w:sz w:val="20"/>
        </w:rPr>
        <w:t>.</w:t>
      </w:r>
    </w:p>
    <w:p w14:paraId="75F772E1" w14:textId="7AB1C573" w:rsidR="002A398D" w:rsidRPr="00B27EDD" w:rsidRDefault="002A398D" w:rsidP="00B27EDD">
      <w:pPr>
        <w:pStyle w:val="ListParagraph"/>
        <w:numPr>
          <w:ilvl w:val="0"/>
          <w:numId w:val="20"/>
        </w:numPr>
        <w:spacing w:after="0" w:line="240" w:lineRule="auto"/>
        <w:jc w:val="both"/>
        <w:rPr>
          <w:sz w:val="20"/>
        </w:rPr>
      </w:pPr>
      <w:r>
        <w:rPr>
          <w:sz w:val="20"/>
        </w:rPr>
        <w:t>Διατήρηση της τάξης και της καθαριότητας, καθώς και των οδών εισόδου και εξόδου</w:t>
      </w:r>
      <w:r w:rsidR="000D2847">
        <w:rPr>
          <w:sz w:val="20"/>
        </w:rPr>
        <w:t>.</w:t>
      </w:r>
    </w:p>
    <w:p w14:paraId="30FF27F0" w14:textId="10F0C6D7" w:rsidR="002A398D" w:rsidRPr="00B27EDD" w:rsidRDefault="002A398D" w:rsidP="00B27EDD">
      <w:pPr>
        <w:pStyle w:val="ListParagraph"/>
        <w:numPr>
          <w:ilvl w:val="0"/>
          <w:numId w:val="20"/>
        </w:numPr>
        <w:spacing w:after="0" w:line="240" w:lineRule="auto"/>
        <w:jc w:val="both"/>
        <w:rPr>
          <w:sz w:val="20"/>
        </w:rPr>
      </w:pPr>
      <w:r>
        <w:rPr>
          <w:sz w:val="20"/>
        </w:rPr>
        <w:t>Ανάπτυξη και εφαρμογή διαδικασιών εργασίας στις εργασίες φόρτωσης και εκφόρτωσης</w:t>
      </w:r>
      <w:r w:rsidR="000D2847">
        <w:rPr>
          <w:sz w:val="20"/>
        </w:rPr>
        <w:t>.</w:t>
      </w:r>
    </w:p>
    <w:p w14:paraId="47ABE1F4" w14:textId="0008D58A" w:rsidR="002A398D" w:rsidRPr="00B27EDD" w:rsidRDefault="002A398D" w:rsidP="00B27EDD">
      <w:pPr>
        <w:pStyle w:val="ListParagraph"/>
        <w:numPr>
          <w:ilvl w:val="0"/>
          <w:numId w:val="20"/>
        </w:numPr>
        <w:spacing w:after="0" w:line="240" w:lineRule="auto"/>
        <w:jc w:val="both"/>
        <w:rPr>
          <w:sz w:val="20"/>
        </w:rPr>
      </w:pPr>
      <w:r>
        <w:rPr>
          <w:sz w:val="20"/>
        </w:rPr>
        <w:t>Χρήση ασφαλούς βοηθητικού εξοπλισμού κατάλληλου μεγέθους</w:t>
      </w:r>
      <w:r w:rsidR="000D2847">
        <w:rPr>
          <w:sz w:val="20"/>
        </w:rPr>
        <w:t>.</w:t>
      </w:r>
    </w:p>
    <w:p w14:paraId="28081739" w14:textId="77777777" w:rsidR="002A398D" w:rsidRPr="00913D84" w:rsidRDefault="002A398D" w:rsidP="00913D84">
      <w:pPr>
        <w:spacing w:after="0" w:line="240" w:lineRule="auto"/>
        <w:jc w:val="both"/>
        <w:rPr>
          <w:rFonts w:eastAsia="Verdana" w:cs="Verdana"/>
          <w:sz w:val="20"/>
        </w:rPr>
      </w:pPr>
    </w:p>
    <w:p w14:paraId="596FA76B" w14:textId="77777777" w:rsidR="002A398D" w:rsidRPr="0072615C" w:rsidRDefault="002A398D" w:rsidP="00913D84">
      <w:pPr>
        <w:spacing w:after="0" w:line="240" w:lineRule="auto"/>
        <w:jc w:val="both"/>
        <w:rPr>
          <w:color w:val="4472C4" w:themeColor="accent5"/>
          <w:sz w:val="20"/>
        </w:rPr>
      </w:pPr>
      <w:r>
        <w:rPr>
          <w:color w:val="4472C4" w:themeColor="accent5"/>
          <w:sz w:val="20"/>
        </w:rPr>
        <w:t>Μεταφορική εταιρεία</w:t>
      </w:r>
    </w:p>
    <w:p w14:paraId="2B76992D" w14:textId="6DF4C1C8" w:rsidR="002A398D" w:rsidRPr="00B27EDD" w:rsidRDefault="002A398D" w:rsidP="00B27EDD">
      <w:pPr>
        <w:pStyle w:val="ListParagraph"/>
        <w:numPr>
          <w:ilvl w:val="0"/>
          <w:numId w:val="23"/>
        </w:numPr>
        <w:spacing w:after="0" w:line="240" w:lineRule="auto"/>
        <w:ind w:left="709"/>
        <w:jc w:val="both"/>
        <w:rPr>
          <w:sz w:val="20"/>
        </w:rPr>
      </w:pPr>
      <w:r>
        <w:rPr>
          <w:sz w:val="20"/>
        </w:rPr>
        <w:t>Συντονισμός των επιχειρηματικών δραστηριοτήτων μεταξύ των συμμετεχουσών εταιρειών</w:t>
      </w:r>
      <w:r w:rsidR="000D2847">
        <w:rPr>
          <w:sz w:val="20"/>
        </w:rPr>
        <w:t>.</w:t>
      </w:r>
    </w:p>
    <w:p w14:paraId="7FDF1D00" w14:textId="3D012029" w:rsidR="002A398D" w:rsidRPr="00B27EDD" w:rsidRDefault="000F52AF" w:rsidP="00B27EDD">
      <w:pPr>
        <w:pStyle w:val="ListParagraph"/>
        <w:numPr>
          <w:ilvl w:val="0"/>
          <w:numId w:val="23"/>
        </w:numPr>
        <w:spacing w:after="0" w:line="240" w:lineRule="auto"/>
        <w:ind w:left="709"/>
        <w:jc w:val="both"/>
        <w:rPr>
          <w:sz w:val="20"/>
        </w:rPr>
      </w:pPr>
      <w:r>
        <w:rPr>
          <w:sz w:val="20"/>
        </w:rPr>
        <w:t>Εξοπλισμός των οχημάτων με συστήματα ασφαλείας (π.χ. για την τοποθέτηση του οχήματος κατά τη φόρτωση και την εκφόρτωση, όπως καθρέφτες και συστήματα φωτεινής και ακουστικής προειδοποίησης κατά τους ελιγμούς)</w:t>
      </w:r>
      <w:r w:rsidR="000D2847">
        <w:rPr>
          <w:sz w:val="20"/>
        </w:rPr>
        <w:t>.</w:t>
      </w:r>
    </w:p>
    <w:p w14:paraId="2D68780C" w14:textId="3EB1187D" w:rsidR="002A398D" w:rsidRPr="00B27EDD" w:rsidRDefault="002A398D" w:rsidP="00B27EDD">
      <w:pPr>
        <w:pStyle w:val="ListParagraph"/>
        <w:numPr>
          <w:ilvl w:val="0"/>
          <w:numId w:val="23"/>
        </w:numPr>
        <w:spacing w:after="0" w:line="240" w:lineRule="auto"/>
        <w:ind w:left="709"/>
        <w:jc w:val="both"/>
        <w:rPr>
          <w:sz w:val="20"/>
        </w:rPr>
      </w:pPr>
      <w:r>
        <w:rPr>
          <w:sz w:val="20"/>
        </w:rPr>
        <w:t>Εξοπλισμός των οχημάτων με βοηθητικά στοιχεία ασφάλειας (π.χ. σφήνες, σήματα, κιβώτιο έκτακτης ανάγκης και πρώτων βοηθειών)</w:t>
      </w:r>
      <w:r w:rsidR="000D2847">
        <w:rPr>
          <w:sz w:val="20"/>
        </w:rPr>
        <w:t>.</w:t>
      </w:r>
    </w:p>
    <w:p w14:paraId="1BD21F55" w14:textId="600C0645" w:rsidR="002A398D" w:rsidRPr="000F52AF" w:rsidRDefault="002A398D" w:rsidP="00D73BB3">
      <w:pPr>
        <w:pStyle w:val="ListParagraph"/>
        <w:numPr>
          <w:ilvl w:val="0"/>
          <w:numId w:val="23"/>
        </w:numPr>
        <w:spacing w:after="0" w:line="240" w:lineRule="auto"/>
        <w:ind w:left="709"/>
        <w:jc w:val="both"/>
        <w:rPr>
          <w:sz w:val="20"/>
        </w:rPr>
      </w:pPr>
      <w:r>
        <w:rPr>
          <w:sz w:val="20"/>
        </w:rPr>
        <w:t xml:space="preserve">Ανάπτυξη και εφαρμογή διαδικασιών εργασίας (π.χ. για τη φόρτωση, την εκφόρτωση και </w:t>
      </w:r>
      <w:r w:rsidR="000D2847">
        <w:rPr>
          <w:sz w:val="20"/>
        </w:rPr>
        <w:t>το στοίβαγμα</w:t>
      </w:r>
      <w:r>
        <w:rPr>
          <w:sz w:val="20"/>
        </w:rPr>
        <w:t>, για την ασφαλή άνοδο και κάθοδο από την καρότσα και τον θάλαμο οδήγησης του φορτηγού) και διαδικασιών για περίπτωση έκτακτης ανάγκης</w:t>
      </w:r>
      <w:r w:rsidR="000D2847">
        <w:rPr>
          <w:sz w:val="20"/>
        </w:rPr>
        <w:t>.</w:t>
      </w:r>
    </w:p>
    <w:p w14:paraId="6708B17B" w14:textId="77777777" w:rsidR="002A398D" w:rsidRPr="000F52AF" w:rsidRDefault="002A398D" w:rsidP="000B370B">
      <w:pPr>
        <w:pStyle w:val="ListParagraph"/>
        <w:numPr>
          <w:ilvl w:val="0"/>
          <w:numId w:val="23"/>
        </w:numPr>
        <w:spacing w:after="0" w:line="240" w:lineRule="auto"/>
        <w:ind w:left="709"/>
        <w:jc w:val="both"/>
        <w:rPr>
          <w:sz w:val="20"/>
        </w:rPr>
      </w:pPr>
      <w:r>
        <w:rPr>
          <w:sz w:val="20"/>
        </w:rPr>
        <w:t>Διενέργεια ελέγχου της κατάστασης του οχήματος πριν και μετά τη φόρτωση ή την εκφόρτωση, σύμφωνα με την καθιερωμένη διαδικασία</w:t>
      </w:r>
    </w:p>
    <w:p w14:paraId="538D9EF6" w14:textId="77777777" w:rsidR="002A398D" w:rsidRPr="00913D84" w:rsidRDefault="002A398D" w:rsidP="00913D84">
      <w:pPr>
        <w:spacing w:after="0" w:line="240" w:lineRule="auto"/>
        <w:jc w:val="both"/>
        <w:rPr>
          <w:sz w:val="20"/>
        </w:rPr>
      </w:pPr>
    </w:p>
    <w:p w14:paraId="7B18370E" w14:textId="77777777" w:rsidR="002A398D" w:rsidRPr="0072615C" w:rsidRDefault="000F52AF" w:rsidP="00913D84">
      <w:pPr>
        <w:spacing w:after="0" w:line="240" w:lineRule="auto"/>
        <w:jc w:val="both"/>
        <w:rPr>
          <w:color w:val="4472C4" w:themeColor="accent5"/>
          <w:sz w:val="20"/>
        </w:rPr>
      </w:pPr>
      <w:r>
        <w:rPr>
          <w:color w:val="4472C4" w:themeColor="accent5"/>
          <w:sz w:val="20"/>
        </w:rPr>
        <w:t>Οδηγός</w:t>
      </w:r>
    </w:p>
    <w:p w14:paraId="6B04FF4E" w14:textId="48597EC0" w:rsidR="002A398D" w:rsidRPr="00B27EDD" w:rsidRDefault="002A398D" w:rsidP="00B27EDD">
      <w:pPr>
        <w:pStyle w:val="ListParagraph"/>
        <w:numPr>
          <w:ilvl w:val="0"/>
          <w:numId w:val="24"/>
        </w:numPr>
        <w:spacing w:after="0" w:line="240" w:lineRule="auto"/>
        <w:jc w:val="both"/>
        <w:rPr>
          <w:sz w:val="20"/>
        </w:rPr>
      </w:pPr>
      <w:r>
        <w:rPr>
          <w:sz w:val="20"/>
        </w:rPr>
        <w:t>Τοποθέτηση του οχήματος στον χώρο που έχει καθοριστεί γι’</w:t>
      </w:r>
      <w:r w:rsidR="000D2847">
        <w:rPr>
          <w:sz w:val="20"/>
        </w:rPr>
        <w:t xml:space="preserve"> </w:t>
      </w:r>
      <w:r>
        <w:rPr>
          <w:sz w:val="20"/>
        </w:rPr>
        <w:t>αυτό από την εταιρεία που φορτώνει/παραλαμβάνει τα εμπορεύματα και τήρηση των οδηγιών που αυτή έχει ορίσει</w:t>
      </w:r>
      <w:r w:rsidR="000D2847">
        <w:rPr>
          <w:sz w:val="20"/>
        </w:rPr>
        <w:t>.</w:t>
      </w:r>
    </w:p>
    <w:p w14:paraId="39C350D7" w14:textId="32713181" w:rsidR="002A398D" w:rsidRPr="00B27EDD" w:rsidRDefault="002A398D" w:rsidP="00B27EDD">
      <w:pPr>
        <w:pStyle w:val="ListParagraph"/>
        <w:numPr>
          <w:ilvl w:val="0"/>
          <w:numId w:val="24"/>
        </w:numPr>
        <w:spacing w:after="0" w:line="240" w:lineRule="auto"/>
        <w:jc w:val="both"/>
        <w:rPr>
          <w:sz w:val="20"/>
        </w:rPr>
      </w:pPr>
      <w:r>
        <w:rPr>
          <w:sz w:val="20"/>
        </w:rPr>
        <w:t>Παραμονή σε ασφαλή χώρο κατά τη διάρκεια των εργασιών φόρτωσης και εκφόρτωσης που πραγματοποιούνται για την εταιρεία</w:t>
      </w:r>
      <w:r w:rsidR="000D2847">
        <w:rPr>
          <w:sz w:val="20"/>
        </w:rPr>
        <w:t>.</w:t>
      </w:r>
    </w:p>
    <w:p w14:paraId="15012B8A" w14:textId="2E141D5D" w:rsidR="002A398D" w:rsidRPr="00B27EDD" w:rsidRDefault="002A398D" w:rsidP="00B27EDD">
      <w:pPr>
        <w:pStyle w:val="ListParagraph"/>
        <w:numPr>
          <w:ilvl w:val="0"/>
          <w:numId w:val="24"/>
        </w:numPr>
        <w:spacing w:after="0" w:line="240" w:lineRule="auto"/>
        <w:jc w:val="both"/>
        <w:rPr>
          <w:sz w:val="20"/>
        </w:rPr>
      </w:pPr>
      <w:r>
        <w:rPr>
          <w:sz w:val="20"/>
        </w:rPr>
        <w:t>Ασφαλής πρόσβαση στην καρότσα και στον θάλαμο οδήγησης του φορτηγού σύμφωνα με την καθιερωμένη διαδικασία</w:t>
      </w:r>
      <w:r w:rsidR="000D2847">
        <w:rPr>
          <w:sz w:val="20"/>
        </w:rPr>
        <w:t>.</w:t>
      </w:r>
    </w:p>
    <w:p w14:paraId="68F00208" w14:textId="1B1FBF76" w:rsidR="002A398D" w:rsidRPr="00B27EDD" w:rsidRDefault="002A398D" w:rsidP="00B27EDD">
      <w:pPr>
        <w:pStyle w:val="ListParagraph"/>
        <w:numPr>
          <w:ilvl w:val="0"/>
          <w:numId w:val="24"/>
        </w:numPr>
        <w:spacing w:after="0" w:line="240" w:lineRule="auto"/>
        <w:jc w:val="both"/>
        <w:rPr>
          <w:sz w:val="20"/>
        </w:rPr>
      </w:pPr>
      <w:r>
        <w:rPr>
          <w:sz w:val="20"/>
        </w:rPr>
        <w:t>Συμμόρφωση με τις διαδικασίες εργασίας και τις οδηγίες δράσης έκτακτης ανάγκης</w:t>
      </w:r>
      <w:r w:rsidR="000D2847">
        <w:rPr>
          <w:sz w:val="20"/>
        </w:rPr>
        <w:t>.</w:t>
      </w:r>
    </w:p>
    <w:p w14:paraId="5A8ACFE3" w14:textId="77777777" w:rsidR="00F01C0A" w:rsidRPr="00913D84" w:rsidRDefault="00F01C0A" w:rsidP="00913D84">
      <w:pPr>
        <w:spacing w:after="0" w:line="240" w:lineRule="auto"/>
        <w:jc w:val="both"/>
        <w:rPr>
          <w:sz w:val="20"/>
        </w:rPr>
      </w:pPr>
    </w:p>
    <w:p w14:paraId="1A560F49" w14:textId="77777777" w:rsidR="00F01C0A" w:rsidRPr="00913D84" w:rsidRDefault="00F01C0A" w:rsidP="00913D84">
      <w:pPr>
        <w:spacing w:after="0" w:line="240" w:lineRule="auto"/>
        <w:jc w:val="both"/>
        <w:rPr>
          <w:sz w:val="20"/>
        </w:rPr>
      </w:pPr>
    </w:p>
    <w:p w14:paraId="7BC15563" w14:textId="77777777" w:rsidR="0044494F" w:rsidRDefault="00F01C0A" w:rsidP="00913D84">
      <w:pPr>
        <w:spacing w:after="0" w:line="240" w:lineRule="auto"/>
        <w:jc w:val="both"/>
        <w:rPr>
          <w:b/>
          <w:sz w:val="20"/>
          <w:u w:val="single"/>
        </w:rPr>
      </w:pPr>
      <w:r w:rsidRPr="0044494F">
        <w:rPr>
          <w:b/>
          <w:sz w:val="20"/>
          <w:u w:val="single"/>
        </w:rPr>
        <w:t>Για περισσότερες πληροφορίες:</w:t>
      </w:r>
    </w:p>
    <w:p w14:paraId="5B161368" w14:textId="77777777" w:rsidR="0044494F" w:rsidRDefault="0044494F" w:rsidP="00913D84">
      <w:pPr>
        <w:spacing w:after="0" w:line="240" w:lineRule="auto"/>
        <w:jc w:val="both"/>
        <w:rPr>
          <w:b/>
          <w:sz w:val="20"/>
          <w:u w:val="single"/>
        </w:rPr>
      </w:pPr>
    </w:p>
    <w:p w14:paraId="7295127F" w14:textId="4336A3E8" w:rsidR="00032707" w:rsidRPr="00913D84" w:rsidRDefault="0044494F" w:rsidP="00913D84">
      <w:pPr>
        <w:spacing w:after="0" w:line="240" w:lineRule="auto"/>
        <w:jc w:val="both"/>
        <w:rPr>
          <w:sz w:val="20"/>
        </w:rPr>
      </w:pPr>
      <w:hyperlink r:id="rId8" w:history="1">
        <w:r w:rsidR="00F01C0A">
          <w:rPr>
            <w:rStyle w:val="Hyperlink"/>
            <w:sz w:val="20"/>
          </w:rPr>
          <w:t>https://osha.europa.eu/el/public</w:t>
        </w:r>
        <w:bookmarkStart w:id="0" w:name="_GoBack"/>
        <w:bookmarkEnd w:id="0"/>
        <w:r w:rsidR="00F01C0A">
          <w:rPr>
            <w:rStyle w:val="Hyperlink"/>
            <w:sz w:val="20"/>
          </w:rPr>
          <w:t>ations/factsheet-16-preventing-vehicle-transport-accidents-workplace</w:t>
        </w:r>
      </w:hyperlink>
      <w:r w:rsidR="00F01C0A">
        <w:rPr>
          <w:sz w:val="20"/>
        </w:rPr>
        <w:t>.</w:t>
      </w:r>
    </w:p>
    <w:sectPr w:rsidR="00032707" w:rsidRPr="00913D84" w:rsidSect="007D3067">
      <w:headerReference w:type="default" r:id="rId9"/>
      <w:footerReference w:type="default" r:id="rId10"/>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63570" w14:textId="77777777" w:rsidR="00AC7DD1" w:rsidRDefault="00AC7DD1" w:rsidP="008D5FE3">
      <w:pPr>
        <w:spacing w:after="0" w:line="240" w:lineRule="auto"/>
      </w:pPr>
      <w:r>
        <w:separator/>
      </w:r>
    </w:p>
  </w:endnote>
  <w:endnote w:type="continuationSeparator" w:id="0">
    <w:p w14:paraId="5C5E0682" w14:textId="77777777" w:rsidR="00AC7DD1" w:rsidRDefault="00AC7DD1" w:rsidP="008D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9071" w14:textId="77777777" w:rsidR="000D2847" w:rsidRDefault="000D2847" w:rsidP="000D2847">
    <w:pPr>
      <w:pStyle w:val="Header"/>
      <w:rPr>
        <w:sz w:val="16"/>
      </w:rPr>
    </w:pPr>
    <w:r>
      <w:rPr>
        <w:noProof/>
      </w:rPr>
      <w:drawing>
        <wp:inline distT="0" distB="0" distL="0" distR="0" wp14:anchorId="005EABA5" wp14:editId="4AEB97F5">
          <wp:extent cx="1043788" cy="634790"/>
          <wp:effectExtent l="0" t="0" r="4445" b="0"/>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630" cy="659020"/>
                  </a:xfrm>
                  <a:prstGeom prst="rect">
                    <a:avLst/>
                  </a:prstGeom>
                  <a:noFill/>
                </pic:spPr>
              </pic:pic>
            </a:graphicData>
          </a:graphic>
        </wp:inline>
      </w:drawing>
    </w:r>
  </w:p>
  <w:p w14:paraId="4A2201E3" w14:textId="77777777" w:rsidR="000D2847" w:rsidRDefault="000D2847" w:rsidP="000D2847">
    <w:pPr>
      <w:pStyle w:val="Header"/>
      <w:jc w:val="right"/>
      <w:rPr>
        <w:sz w:val="16"/>
      </w:rPr>
    </w:pPr>
  </w:p>
  <w:p w14:paraId="257320ED" w14:textId="7E475B3A" w:rsidR="000D2847" w:rsidRPr="00244123" w:rsidRDefault="000D2847" w:rsidP="00244123">
    <w:pPr>
      <w:pStyle w:val="Header"/>
    </w:pPr>
    <w:r>
      <w:rPr>
        <w:sz w:val="16"/>
      </w:rPr>
      <w:t>Ατυχήματα: Σταματήστε τα πριν σας σταματήσουν!</w:t>
    </w:r>
  </w:p>
  <w:p w14:paraId="48BCC22D" w14:textId="725CFC17" w:rsidR="000D2847" w:rsidRPr="00244123" w:rsidRDefault="000D2847">
    <w:pPr>
      <w:pStyle w:val="Footer"/>
      <w:jc w:val="right"/>
      <w:rPr>
        <w:sz w:val="16"/>
        <w:szCs w:val="16"/>
      </w:rPr>
    </w:pPr>
    <w:r w:rsidRPr="00244123">
      <w:rPr>
        <w:sz w:val="16"/>
        <w:szCs w:val="16"/>
      </w:rPr>
      <w:t>-</w:t>
    </w:r>
    <w:sdt>
      <w:sdtPr>
        <w:rPr>
          <w:sz w:val="16"/>
          <w:szCs w:val="16"/>
        </w:rPr>
        <w:id w:val="-1635865017"/>
        <w:docPartObj>
          <w:docPartGallery w:val="Page Numbers (Bottom of Page)"/>
          <w:docPartUnique/>
        </w:docPartObj>
      </w:sdtPr>
      <w:sdtEndPr>
        <w:rPr>
          <w:noProof/>
        </w:rPr>
      </w:sdtEndPr>
      <w:sdtContent>
        <w:r w:rsidRPr="00244123">
          <w:rPr>
            <w:sz w:val="16"/>
            <w:szCs w:val="16"/>
          </w:rPr>
          <w:fldChar w:fldCharType="begin"/>
        </w:r>
        <w:r w:rsidRPr="00244123">
          <w:rPr>
            <w:sz w:val="16"/>
            <w:szCs w:val="16"/>
          </w:rPr>
          <w:instrText xml:space="preserve"> PAGE   \* MERGEFORMAT </w:instrText>
        </w:r>
        <w:r w:rsidRPr="00244123">
          <w:rPr>
            <w:sz w:val="16"/>
            <w:szCs w:val="16"/>
          </w:rPr>
          <w:fldChar w:fldCharType="separate"/>
        </w:r>
        <w:r w:rsidR="0044494F">
          <w:rPr>
            <w:noProof/>
            <w:sz w:val="16"/>
            <w:szCs w:val="16"/>
          </w:rPr>
          <w:t>2</w:t>
        </w:r>
        <w:r w:rsidRPr="00244123">
          <w:rPr>
            <w:noProof/>
            <w:sz w:val="16"/>
            <w:szCs w:val="16"/>
          </w:rPr>
          <w:fldChar w:fldCharType="end"/>
        </w:r>
        <w:r w:rsidRPr="00244123">
          <w:rPr>
            <w:noProof/>
            <w:sz w:val="16"/>
            <w:szCs w:val="16"/>
          </w:rPr>
          <w:t>-</w:t>
        </w:r>
      </w:sdtContent>
    </w:sdt>
  </w:p>
  <w:p w14:paraId="5E2B0FA4" w14:textId="77777777" w:rsidR="00060034" w:rsidRPr="00072211" w:rsidRDefault="00060034" w:rsidP="002441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AD514" w14:textId="77777777" w:rsidR="00AC7DD1" w:rsidRDefault="00AC7DD1" w:rsidP="008D5FE3">
      <w:pPr>
        <w:spacing w:after="0" w:line="240" w:lineRule="auto"/>
      </w:pPr>
      <w:r>
        <w:separator/>
      </w:r>
    </w:p>
  </w:footnote>
  <w:footnote w:type="continuationSeparator" w:id="0">
    <w:p w14:paraId="7996A09F" w14:textId="77777777" w:rsidR="00AC7DD1" w:rsidRDefault="00AC7DD1" w:rsidP="008D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B5A7" w14:textId="71243B19" w:rsidR="00060034" w:rsidRDefault="0014521A" w:rsidP="00913D84">
    <w:pPr>
      <w:pStyle w:val="Header"/>
      <w:jc w:val="right"/>
      <w:rPr>
        <w:b/>
        <w:sz w:val="18"/>
      </w:rPr>
    </w:pPr>
    <w:r>
      <w:rPr>
        <w:noProof/>
      </w:rPr>
      <w:drawing>
        <wp:inline distT="0" distB="0" distL="0" distR="0" wp14:anchorId="4803017D" wp14:editId="590A09BB">
          <wp:extent cx="818790" cy="838056"/>
          <wp:effectExtent l="0" t="0" r="635" b="635"/>
          <wp:docPr id="2" name="Picture 2" descr="A circular diagram with different types of vehi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rcular diagram with different types of vehic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797" cy="846252"/>
                  </a:xfrm>
                  <a:prstGeom prst="rect">
                    <a:avLst/>
                  </a:prstGeom>
                </pic:spPr>
              </pic:pic>
            </a:graphicData>
          </a:graphic>
        </wp:inline>
      </w:drawing>
    </w:r>
    <w:r w:rsidR="00060034">
      <w:t xml:space="preserve">  </w:t>
    </w:r>
  </w:p>
  <w:p w14:paraId="6963AD1E" w14:textId="77777777" w:rsidR="008D5FE3" w:rsidRPr="00060034" w:rsidRDefault="004A6231" w:rsidP="00913D84">
    <w:pPr>
      <w:pStyle w:val="Header"/>
      <w:jc w:val="right"/>
    </w:pPr>
    <w:r>
      <w:rPr>
        <w:b/>
        <w:sz w:val="18"/>
      </w:rPr>
      <w:t>Εκστρατεία της SLIC 2024 — Εργατικά ατυχήματα</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4BF"/>
    <w:multiLevelType w:val="hybridMultilevel"/>
    <w:tmpl w:val="69F8CDB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4EA3E04"/>
    <w:multiLevelType w:val="hybridMultilevel"/>
    <w:tmpl w:val="B56C604E"/>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 w15:restartNumberingAfterBreak="0">
    <w:nsid w:val="065B7F24"/>
    <w:multiLevelType w:val="hybridMultilevel"/>
    <w:tmpl w:val="6EF8B1B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81A0A00"/>
    <w:multiLevelType w:val="hybridMultilevel"/>
    <w:tmpl w:val="B4FCC17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45B15DC"/>
    <w:multiLevelType w:val="hybridMultilevel"/>
    <w:tmpl w:val="94FE5E2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5A6368C"/>
    <w:multiLevelType w:val="hybridMultilevel"/>
    <w:tmpl w:val="0396F7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F50EFB"/>
    <w:multiLevelType w:val="hybridMultilevel"/>
    <w:tmpl w:val="EBC0B60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7FB31E4"/>
    <w:multiLevelType w:val="hybridMultilevel"/>
    <w:tmpl w:val="81AAF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1E06EE"/>
    <w:multiLevelType w:val="hybridMultilevel"/>
    <w:tmpl w:val="F1781FDC"/>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9" w15:restartNumberingAfterBreak="0">
    <w:nsid w:val="25C52A27"/>
    <w:multiLevelType w:val="hybridMultilevel"/>
    <w:tmpl w:val="5C5A625A"/>
    <w:lvl w:ilvl="0" w:tplc="69F0734A">
      <w:start w:val="5"/>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304327AF"/>
    <w:multiLevelType w:val="hybridMultilevel"/>
    <w:tmpl w:val="60484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FB015E"/>
    <w:multiLevelType w:val="hybridMultilevel"/>
    <w:tmpl w:val="B692866E"/>
    <w:lvl w:ilvl="0" w:tplc="39A49A80">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BF865CB"/>
    <w:multiLevelType w:val="hybridMultilevel"/>
    <w:tmpl w:val="CDF4A6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D3605EA"/>
    <w:multiLevelType w:val="hybridMultilevel"/>
    <w:tmpl w:val="E720375E"/>
    <w:lvl w:ilvl="0" w:tplc="868AFCD4">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F5E370F"/>
    <w:multiLevelType w:val="hybridMultilevel"/>
    <w:tmpl w:val="1B1C4EE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CC1A1D"/>
    <w:multiLevelType w:val="hybridMultilevel"/>
    <w:tmpl w:val="1A4AD9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E3D4F5B"/>
    <w:multiLevelType w:val="hybridMultilevel"/>
    <w:tmpl w:val="530690C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F6B0BD9"/>
    <w:multiLevelType w:val="hybridMultilevel"/>
    <w:tmpl w:val="E7AE8386"/>
    <w:lvl w:ilvl="0" w:tplc="57ACEA52">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3094D8E"/>
    <w:multiLevelType w:val="hybridMultilevel"/>
    <w:tmpl w:val="13DE6D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40D3EEB"/>
    <w:multiLevelType w:val="hybridMultilevel"/>
    <w:tmpl w:val="1D12961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68E02188"/>
    <w:multiLevelType w:val="hybridMultilevel"/>
    <w:tmpl w:val="534E3D8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06D52FD"/>
    <w:multiLevelType w:val="hybridMultilevel"/>
    <w:tmpl w:val="15AE1B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73584392"/>
    <w:multiLevelType w:val="hybridMultilevel"/>
    <w:tmpl w:val="63AE9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7EC6BCA"/>
    <w:multiLevelType w:val="hybridMultilevel"/>
    <w:tmpl w:val="CC743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FC455C5"/>
    <w:multiLevelType w:val="hybridMultilevel"/>
    <w:tmpl w:val="2FF644FA"/>
    <w:lvl w:ilvl="0" w:tplc="458C9B9C">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8"/>
  </w:num>
  <w:num w:numId="4">
    <w:abstractNumId w:val="21"/>
  </w:num>
  <w:num w:numId="5">
    <w:abstractNumId w:val="3"/>
  </w:num>
  <w:num w:numId="6">
    <w:abstractNumId w:val="6"/>
  </w:num>
  <w:num w:numId="7">
    <w:abstractNumId w:val="20"/>
  </w:num>
  <w:num w:numId="8">
    <w:abstractNumId w:val="15"/>
  </w:num>
  <w:num w:numId="9">
    <w:abstractNumId w:val="16"/>
  </w:num>
  <w:num w:numId="10">
    <w:abstractNumId w:val="14"/>
  </w:num>
  <w:num w:numId="11">
    <w:abstractNumId w:val="5"/>
  </w:num>
  <w:num w:numId="12">
    <w:abstractNumId w:val="2"/>
  </w:num>
  <w:num w:numId="13">
    <w:abstractNumId w:val="1"/>
  </w:num>
  <w:num w:numId="14">
    <w:abstractNumId w:val="7"/>
  </w:num>
  <w:num w:numId="15">
    <w:abstractNumId w:val="22"/>
  </w:num>
  <w:num w:numId="16">
    <w:abstractNumId w:val="10"/>
  </w:num>
  <w:num w:numId="17">
    <w:abstractNumId w:val="23"/>
  </w:num>
  <w:num w:numId="18">
    <w:abstractNumId w:val="12"/>
  </w:num>
  <w:num w:numId="19">
    <w:abstractNumId w:val="13"/>
  </w:num>
  <w:num w:numId="20">
    <w:abstractNumId w:val="0"/>
  </w:num>
  <w:num w:numId="21">
    <w:abstractNumId w:val="4"/>
  </w:num>
  <w:num w:numId="22">
    <w:abstractNumId w:val="17"/>
  </w:num>
  <w:num w:numId="23">
    <w:abstractNumId w:val="8"/>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5FE3"/>
    <w:rsid w:val="00032707"/>
    <w:rsid w:val="00037C84"/>
    <w:rsid w:val="00041DE5"/>
    <w:rsid w:val="00060034"/>
    <w:rsid w:val="0007200C"/>
    <w:rsid w:val="00072211"/>
    <w:rsid w:val="000A09B8"/>
    <w:rsid w:val="000A2CE0"/>
    <w:rsid w:val="000D2847"/>
    <w:rsid w:val="000E1185"/>
    <w:rsid w:val="000F52AF"/>
    <w:rsid w:val="0014521A"/>
    <w:rsid w:val="00195BC6"/>
    <w:rsid w:val="002313FA"/>
    <w:rsid w:val="00244123"/>
    <w:rsid w:val="0028139F"/>
    <w:rsid w:val="002A398D"/>
    <w:rsid w:val="003E1DB2"/>
    <w:rsid w:val="0044494F"/>
    <w:rsid w:val="00474515"/>
    <w:rsid w:val="004A6231"/>
    <w:rsid w:val="004B7A4B"/>
    <w:rsid w:val="00557859"/>
    <w:rsid w:val="005A20B5"/>
    <w:rsid w:val="005C5C00"/>
    <w:rsid w:val="00715A5B"/>
    <w:rsid w:val="0072615C"/>
    <w:rsid w:val="00764023"/>
    <w:rsid w:val="007D3067"/>
    <w:rsid w:val="00803F51"/>
    <w:rsid w:val="00820CF9"/>
    <w:rsid w:val="008254EF"/>
    <w:rsid w:val="00845EA2"/>
    <w:rsid w:val="008D5FE3"/>
    <w:rsid w:val="00913D84"/>
    <w:rsid w:val="009269B5"/>
    <w:rsid w:val="009C1471"/>
    <w:rsid w:val="00AC7DD1"/>
    <w:rsid w:val="00AD70FB"/>
    <w:rsid w:val="00B27EDD"/>
    <w:rsid w:val="00B54464"/>
    <w:rsid w:val="00BF4E91"/>
    <w:rsid w:val="00C06387"/>
    <w:rsid w:val="00C30F24"/>
    <w:rsid w:val="00CB5C5D"/>
    <w:rsid w:val="00D56C4F"/>
    <w:rsid w:val="00D82F92"/>
    <w:rsid w:val="00DB7337"/>
    <w:rsid w:val="00E872F4"/>
    <w:rsid w:val="00EA5A24"/>
    <w:rsid w:val="00F01C0A"/>
    <w:rsid w:val="00F240D4"/>
    <w:rsid w:val="00F25F7A"/>
    <w:rsid w:val="00FC4BAF"/>
    <w:rsid w:val="00FF19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F3C0"/>
  <w15:chartTrackingRefBased/>
  <w15:docId w15:val="{BAF636D7-F482-436B-A964-AE2E2AD5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FE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D5FE3"/>
  </w:style>
  <w:style w:type="paragraph" w:styleId="Footer">
    <w:name w:val="footer"/>
    <w:basedOn w:val="Normal"/>
    <w:link w:val="FooterChar"/>
    <w:uiPriority w:val="99"/>
    <w:unhideWhenUsed/>
    <w:rsid w:val="008D5FE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D5FE3"/>
  </w:style>
  <w:style w:type="paragraph" w:styleId="ListParagraph">
    <w:name w:val="List Paragraph"/>
    <w:basedOn w:val="Normal"/>
    <w:uiPriority w:val="34"/>
    <w:qFormat/>
    <w:rsid w:val="00CB5C5D"/>
    <w:pPr>
      <w:ind w:left="720"/>
      <w:contextualSpacing/>
    </w:pPr>
  </w:style>
  <w:style w:type="paragraph" w:styleId="BalloonText">
    <w:name w:val="Balloon Text"/>
    <w:basedOn w:val="Normal"/>
    <w:link w:val="BalloonTextChar"/>
    <w:uiPriority w:val="99"/>
    <w:semiHidden/>
    <w:unhideWhenUsed/>
    <w:rsid w:val="00C06387"/>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C06387"/>
    <w:rPr>
      <w:rFonts w:ascii="Segoe UI" w:hAnsi="Segoe UI" w:cs="Segoe UI"/>
      <w:sz w:val="18"/>
    </w:rPr>
  </w:style>
  <w:style w:type="character" w:styleId="PlaceholderText">
    <w:name w:val="Placeholder Text"/>
    <w:basedOn w:val="DefaultParagraphFont"/>
    <w:uiPriority w:val="99"/>
    <w:semiHidden/>
    <w:rsid w:val="00FC4BAF"/>
    <w:rPr>
      <w:color w:val="808080"/>
    </w:rPr>
  </w:style>
  <w:style w:type="table" w:styleId="TableGrid">
    <w:name w:val="Table Grid"/>
    <w:basedOn w:val="TableNormal"/>
    <w:uiPriority w:val="39"/>
    <w:rsid w:val="002A3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C0A"/>
    <w:rPr>
      <w:color w:val="0000FF"/>
      <w:u w:val="single"/>
    </w:rPr>
  </w:style>
  <w:style w:type="character" w:customStyle="1" w:styleId="UnresolvedMention1">
    <w:name w:val="Unresolved Mention1"/>
    <w:basedOn w:val="DefaultParagraphFont"/>
    <w:uiPriority w:val="99"/>
    <w:semiHidden/>
    <w:unhideWhenUsed/>
    <w:rsid w:val="00032707"/>
    <w:rPr>
      <w:color w:val="605E5C"/>
      <w:shd w:val="clear" w:color="auto" w:fill="E1DFDD"/>
    </w:rPr>
  </w:style>
  <w:style w:type="character" w:styleId="FollowedHyperlink">
    <w:name w:val="FollowedHyperlink"/>
    <w:basedOn w:val="DefaultParagraphFont"/>
    <w:uiPriority w:val="99"/>
    <w:semiHidden/>
    <w:unhideWhenUsed/>
    <w:rsid w:val="000F52AF"/>
    <w:rPr>
      <w:color w:val="954F72" w:themeColor="followedHyperlink"/>
      <w:u w:val="single"/>
    </w:rPr>
  </w:style>
  <w:style w:type="paragraph" w:styleId="Revision">
    <w:name w:val="Revision"/>
    <w:hidden/>
    <w:uiPriority w:val="99"/>
    <w:semiHidden/>
    <w:rsid w:val="000D2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a.europa.eu/el/publications/factsheet-16-preventing-vehicle-transport-accidents-workpl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FF91-EF66-4015-A676-069D06DE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802</Words>
  <Characters>4334</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XXXXXXX</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Kouyiali  Marina</cp:lastModifiedBy>
  <cp:revision>7</cp:revision>
  <dcterms:created xsi:type="dcterms:W3CDTF">2023-09-29T07:26:00Z</dcterms:created>
  <dcterms:modified xsi:type="dcterms:W3CDTF">2024-03-20T07:54:00Z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2023-07-31T08:23:04Z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b3522b53-25da-4413-a960-8f8af54c8db0</vt:lpwstr>
  </property>
  <property fmtid="{D5CDD505-2E9C-101B-9397-08002B2CF9AE}" pid="8" name="MSIP_Label_6bd9ddd1-4d20-43f6-abfa-fc3c07406f94_ContentBits">
    <vt:lpwstr>0</vt:lpwstr>
  </property>
</Properties>
</file>