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05" w:rsidRPr="001F3DA0" w:rsidRDefault="00D50E49" w:rsidP="00935DE5">
      <w:pPr>
        <w:jc w:val="center"/>
        <w:rPr>
          <w:rFonts w:ascii="Arial" w:hAnsi="Arial"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2344420</wp:posOffset>
                </wp:positionH>
                <wp:positionV relativeFrom="paragraph">
                  <wp:posOffset>-286385</wp:posOffset>
                </wp:positionV>
                <wp:extent cx="1371600" cy="435610"/>
                <wp:effectExtent l="0" t="0" r="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0C" w:rsidRPr="00E16A71" w:rsidRDefault="00BB30F9" w:rsidP="007152F0">
                            <w:pPr>
                              <w:rPr>
                                <w:rFonts w:ascii="Arial" w:hAnsi="Arial" w:cs="Arial"/>
                                <w:b/>
                              </w:rPr>
                            </w:pPr>
                            <w:r>
                              <w:rPr>
                                <w:rFonts w:ascii="Arial" w:hAnsi="Arial" w:cs="Arial"/>
                                <w:b/>
                              </w:rPr>
                              <w:t>ΠΑΡΑΡΤΗΜΑ</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84.6pt;margin-top:-22.55pt;width:108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DhhQIAABA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" stroked="f">
                <v:textbox>
                  <w:txbxContent>
                    <w:p w:rsidR="0017790C" w:rsidRPr="00E16A71" w:rsidRDefault="00BB30F9" w:rsidP="007152F0">
                      <w:pPr>
                        <w:rPr>
                          <w:rFonts w:ascii="Arial" w:hAnsi="Arial" w:cs="Arial"/>
                          <w:b/>
                        </w:rPr>
                      </w:pPr>
                      <w:r>
                        <w:rPr>
                          <w:rFonts w:ascii="Arial" w:hAnsi="Arial" w:cs="Arial"/>
                          <w:b/>
                        </w:rPr>
                        <w:t>ΠΑΡΑΡΤΗΜΑ</w:t>
                      </w:r>
                      <w:bookmarkStart w:id="1" w:name="_GoBack"/>
                      <w:bookmarkEnd w:id="1"/>
                    </w:p>
                  </w:txbxContent>
                </v:textbox>
              </v:shape>
            </w:pict>
          </mc:Fallback>
        </mc:AlternateContent>
      </w:r>
    </w:p>
    <w:p w:rsidR="00C31705" w:rsidRPr="001F3DA0" w:rsidRDefault="00877D05" w:rsidP="00935DE5">
      <w:pPr>
        <w:jc w:val="center"/>
        <w:rPr>
          <w:rFonts w:ascii="Arial" w:hAnsi="Arial" w:cs="Arial"/>
          <w:b/>
          <w:u w:val="single"/>
        </w:rPr>
      </w:pPr>
      <w:r>
        <w:rPr>
          <w:rFonts w:ascii="Arial" w:hAnsi="Arial" w:cs="Arial"/>
          <w:b/>
          <w:u w:val="single"/>
        </w:rPr>
        <w:t xml:space="preserve">Εκστρατεία σε Υπεραγορές και </w:t>
      </w:r>
      <w:r w:rsidR="003D34B9">
        <w:rPr>
          <w:rFonts w:ascii="Arial" w:hAnsi="Arial" w:cs="Arial"/>
          <w:b/>
          <w:u w:val="single"/>
        </w:rPr>
        <w:t>Χονδρικό Εμπόριο</w:t>
      </w:r>
    </w:p>
    <w:p w:rsidR="00C31705" w:rsidRPr="001F3DA0" w:rsidRDefault="00A3115E" w:rsidP="00935DE5">
      <w:pPr>
        <w:jc w:val="center"/>
        <w:rPr>
          <w:rFonts w:ascii="Arial" w:hAnsi="Arial" w:cs="Arial"/>
          <w:u w:val="single"/>
        </w:rPr>
      </w:pPr>
      <w:r w:rsidRPr="001F3DA0">
        <w:rPr>
          <w:rFonts w:ascii="Arial" w:hAnsi="Arial" w:cs="Arial"/>
          <w:b/>
          <w:u w:val="single"/>
        </w:rPr>
        <w:t>Φεβρουάριος</w:t>
      </w:r>
      <w:r w:rsidR="00C31705" w:rsidRPr="001F3DA0">
        <w:rPr>
          <w:rFonts w:ascii="Arial" w:hAnsi="Arial" w:cs="Arial"/>
          <w:b/>
          <w:u w:val="single"/>
        </w:rPr>
        <w:t xml:space="preserve"> 201</w:t>
      </w:r>
      <w:r w:rsidR="007B0C40">
        <w:rPr>
          <w:rFonts w:ascii="Arial" w:hAnsi="Arial" w:cs="Arial"/>
          <w:b/>
          <w:u w:val="single"/>
        </w:rPr>
        <w:t>8</w:t>
      </w:r>
    </w:p>
    <w:p w:rsidR="007152F0" w:rsidRPr="001F3DA0" w:rsidRDefault="007152F0" w:rsidP="00935DE5">
      <w:pPr>
        <w:jc w:val="center"/>
        <w:rPr>
          <w:rFonts w:ascii="Arial" w:hAnsi="Arial" w:cs="Arial"/>
          <w:b/>
          <w:u w:val="single"/>
        </w:rPr>
      </w:pPr>
    </w:p>
    <w:p w:rsidR="00684C0D" w:rsidRPr="001F3DA0" w:rsidRDefault="00684C0D" w:rsidP="00935DE5">
      <w:pPr>
        <w:jc w:val="center"/>
        <w:rPr>
          <w:rFonts w:ascii="Arial" w:hAnsi="Arial" w:cs="Arial"/>
          <w:b/>
          <w:u w:val="single"/>
        </w:rPr>
      </w:pPr>
      <w:r w:rsidRPr="001F3DA0">
        <w:rPr>
          <w:rFonts w:ascii="Arial" w:hAnsi="Arial" w:cs="Arial"/>
          <w:b/>
          <w:u w:val="single"/>
        </w:rPr>
        <w:t xml:space="preserve">Επεξήγηση Σημείων Ελέγχου </w:t>
      </w:r>
    </w:p>
    <w:p w:rsidR="00684C0D" w:rsidRPr="003F531F" w:rsidRDefault="00684C0D" w:rsidP="00935DE5">
      <w:pPr>
        <w:ind w:left="1440" w:hanging="1440"/>
        <w:rPr>
          <w:rFonts w:ascii="Arial" w:hAnsi="Arial" w:cs="Arial"/>
          <w:b/>
          <w:sz w:val="22"/>
          <w:szCs w:val="22"/>
        </w:rPr>
      </w:pPr>
    </w:p>
    <w:tbl>
      <w:tblPr>
        <w:tblW w:w="10173" w:type="dxa"/>
        <w:tblLook w:val="01E0" w:firstRow="1" w:lastRow="1" w:firstColumn="1" w:lastColumn="1" w:noHBand="0" w:noVBand="0"/>
      </w:tblPr>
      <w:tblGrid>
        <w:gridCol w:w="6062"/>
        <w:gridCol w:w="4111"/>
      </w:tblGrid>
      <w:tr w:rsidR="005552AE" w:rsidRPr="00D913DE" w:rsidTr="0041797E">
        <w:tc>
          <w:tcPr>
            <w:tcW w:w="10173" w:type="dxa"/>
            <w:gridSpan w:val="2"/>
          </w:tcPr>
          <w:p w:rsidR="005552AE" w:rsidRPr="005552AE" w:rsidRDefault="005552AE" w:rsidP="005552AE">
            <w:pPr>
              <w:spacing w:line="180" w:lineRule="exact"/>
              <w:rPr>
                <w:rFonts w:ascii="Arial" w:hAnsi="Arial" w:cs="Arial"/>
                <w:b/>
                <w:u w:val="single"/>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υπάρχει Γραπτή Εκτίμηση των Κινδύνων.</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υπάρχει γραπτή εκτίμηση των κινδύνων</w:t>
            </w:r>
            <w:r w:rsidR="0077744F">
              <w:rPr>
                <w:rFonts w:ascii="Arial" w:hAnsi="Arial" w:cs="Arial"/>
                <w:sz w:val="22"/>
                <w:szCs w:val="22"/>
              </w:rPr>
              <w:t>, που να καλύπτει όλ</w:t>
            </w:r>
            <w:r w:rsidR="0041797E">
              <w:rPr>
                <w:rFonts w:ascii="Arial" w:hAnsi="Arial" w:cs="Arial"/>
                <w:sz w:val="22"/>
                <w:szCs w:val="22"/>
              </w:rPr>
              <w:t>ους τους κινδύνους και όλα</w:t>
            </w:r>
            <w:r w:rsidR="0077744F">
              <w:rPr>
                <w:rFonts w:ascii="Arial" w:hAnsi="Arial" w:cs="Arial"/>
                <w:sz w:val="22"/>
                <w:szCs w:val="22"/>
              </w:rPr>
              <w:t xml:space="preserve"> τα εμπλεκόμενα πρόσωπα</w:t>
            </w:r>
            <w:r w:rsidRPr="005924E7">
              <w:rPr>
                <w:rFonts w:ascii="Arial" w:hAnsi="Arial" w:cs="Arial"/>
                <w:sz w:val="22"/>
                <w:szCs w:val="22"/>
              </w:rPr>
              <w:t xml:space="preserve"> </w:t>
            </w:r>
            <w:r w:rsidR="002075C2">
              <w:rPr>
                <w:rFonts w:ascii="Arial" w:hAnsi="Arial" w:cs="Arial"/>
                <w:sz w:val="22"/>
                <w:szCs w:val="22"/>
              </w:rPr>
              <w:t xml:space="preserve">στους διάφορους χώρους εργασίας εντός ή εκτός του υποστατικού </w:t>
            </w:r>
            <w:r w:rsidRPr="005924E7">
              <w:rPr>
                <w:rFonts w:ascii="Arial" w:hAnsi="Arial" w:cs="Arial"/>
                <w:sz w:val="22"/>
                <w:szCs w:val="22"/>
              </w:rPr>
              <w:t xml:space="preserve">και εάν αναφέρονται τα αντίστοιχα μέτρα προστασίας και πρόληψης.  </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 xml:space="preserve">Εάν μέσα στη γραπτή εκτίμηση κινδύνων γίνεται αναφορά στον </w:t>
            </w:r>
            <w:r w:rsidR="0077744F">
              <w:rPr>
                <w:rFonts w:ascii="Arial" w:hAnsi="Arial" w:cs="Arial"/>
                <w:sz w:val="22"/>
                <w:szCs w:val="22"/>
              </w:rPr>
              <w:t xml:space="preserve">κίνδυνο από αιχμηρά αντικείμενα, μηχανήματα ή συσκευές </w:t>
            </w:r>
            <w:r w:rsidRPr="005924E7">
              <w:rPr>
                <w:rFonts w:ascii="Arial" w:hAnsi="Arial" w:cs="Arial"/>
                <w:sz w:val="22"/>
                <w:szCs w:val="22"/>
              </w:rPr>
              <w:t>καθώς και σε μέτρα που πρέπει να λαμβάνονται όπως κατάλληλοι προφυλακτήρες (ειδικά σε κρεαταγορές).</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 xml:space="preserve">Εάν μέσα στη γραπτή εκτίμηση κινδύνων γίνεται αναφορά στις χημικές ουσίες  που χρησιμοποιούνται / αποθηκεύονται, με κατάλογο όλων των </w:t>
            </w:r>
            <w:r w:rsidR="0077744F">
              <w:rPr>
                <w:rFonts w:ascii="Arial" w:hAnsi="Arial" w:cs="Arial"/>
                <w:sz w:val="22"/>
                <w:szCs w:val="22"/>
              </w:rPr>
              <w:t xml:space="preserve">επικίνδυνων </w:t>
            </w:r>
            <w:r w:rsidRPr="005924E7">
              <w:rPr>
                <w:rFonts w:ascii="Arial" w:hAnsi="Arial" w:cs="Arial"/>
                <w:sz w:val="22"/>
                <w:szCs w:val="22"/>
              </w:rPr>
              <w:t>χημικών ουσιών και αναφορά στην επικινδυνότητας τους βάση των δελτίων ασφαλείας τους.</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 xml:space="preserve">Εάν μέσα στη γραπτή εκτίμηση κινδύνων γίνεται αναφορά σε κίνδυνο από γλιστρήματα και πτώσεις για τους εργαζομένους και για τρίτα πρόσωπα. </w:t>
            </w:r>
            <w:r w:rsidR="0041797E">
              <w:rPr>
                <w:rFonts w:ascii="Arial" w:hAnsi="Arial" w:cs="Arial"/>
                <w:sz w:val="22"/>
                <w:szCs w:val="22"/>
              </w:rPr>
              <w:t xml:space="preserve"> </w:t>
            </w:r>
            <w:r w:rsidR="0077744F">
              <w:rPr>
                <w:rFonts w:ascii="Arial" w:hAnsi="Arial" w:cs="Arial"/>
                <w:sz w:val="22"/>
                <w:szCs w:val="22"/>
              </w:rPr>
              <w:t>Σημειώνεται ότι ο κίνδυνος αυτός συνδέεται με</w:t>
            </w:r>
            <w:r w:rsidRPr="005924E7">
              <w:rPr>
                <w:rFonts w:ascii="Arial" w:hAnsi="Arial" w:cs="Arial"/>
                <w:sz w:val="22"/>
                <w:szCs w:val="22"/>
              </w:rPr>
              <w:t xml:space="preserve"> τα συνηθέστερα ατυχήματα σε Υπεραγορές.</w:t>
            </w:r>
          </w:p>
          <w:p w:rsidR="001601E1" w:rsidRPr="005924E7" w:rsidRDefault="001601E1" w:rsidP="001601E1">
            <w:pPr>
              <w:ind w:left="426"/>
              <w:jc w:val="both"/>
              <w:rPr>
                <w:rFonts w:ascii="Arial" w:hAnsi="Arial" w:cs="Arial"/>
                <w:sz w:val="22"/>
                <w:szCs w:val="22"/>
              </w:rPr>
            </w:pPr>
          </w:p>
          <w:p w:rsidR="001601E1"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μέσα στη γραπτή εκτίμηση κινδύνων γίνεται αναφορά σε κίνδυνο από πυρκαγιά ώστε να προβλεφθεί σωστότερη τοποθέτηση και αποθήκευση προϊόντων και να υπάρχει κατάλληλος πυροσβεστικός εξοπλισμός για κατάσβεση της πυρκαγιάς, ανάλογα με τα προϊόντα που βρίσκονται προς αποθήκευση και πώληση.</w:t>
            </w:r>
          </w:p>
          <w:p w:rsidR="002075C2" w:rsidRDefault="002075C2" w:rsidP="002075C2">
            <w:pPr>
              <w:pStyle w:val="ListParagraph"/>
              <w:rPr>
                <w:rFonts w:ascii="Arial" w:hAnsi="Arial" w:cs="Arial"/>
                <w:sz w:val="22"/>
                <w:szCs w:val="22"/>
              </w:rPr>
            </w:pPr>
          </w:p>
          <w:p w:rsidR="002075C2" w:rsidRPr="005924E7" w:rsidRDefault="002075C2" w:rsidP="001601E1">
            <w:pPr>
              <w:numPr>
                <w:ilvl w:val="0"/>
                <w:numId w:val="6"/>
              </w:numPr>
              <w:tabs>
                <w:tab w:val="clear" w:pos="2160"/>
                <w:tab w:val="num" w:pos="0"/>
              </w:tabs>
              <w:ind w:left="426" w:hanging="426"/>
              <w:jc w:val="both"/>
              <w:rPr>
                <w:rFonts w:ascii="Arial" w:hAnsi="Arial" w:cs="Arial"/>
                <w:sz w:val="22"/>
                <w:szCs w:val="22"/>
              </w:rPr>
            </w:pPr>
            <w:r>
              <w:rPr>
                <w:rFonts w:ascii="Arial" w:hAnsi="Arial" w:cs="Arial"/>
                <w:sz w:val="22"/>
                <w:szCs w:val="22"/>
              </w:rPr>
              <w:t>Εάν μέσα στη γραπτή εκτίμηση κινδύνου γίνεται αναφορά σε κίνδυνο από τη χειρωνακτική διακίνηση φορτίου.</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υπάρχουν έγγραφα (π.χ. γραπτή εκτίμηση των κινδύνων, γραπτές διαδικασίες, ορισμένα πρόσωπα για θέματα ασφάλειας και υγείας</w:t>
            </w:r>
            <w:r w:rsidR="0077744F">
              <w:rPr>
                <w:rFonts w:ascii="Arial" w:hAnsi="Arial" w:cs="Arial"/>
                <w:sz w:val="22"/>
                <w:szCs w:val="22"/>
              </w:rPr>
              <w:t>, μητρώα</w:t>
            </w:r>
            <w:r w:rsidRPr="005924E7">
              <w:rPr>
                <w:rFonts w:ascii="Arial" w:hAnsi="Arial" w:cs="Arial"/>
                <w:sz w:val="22"/>
                <w:szCs w:val="22"/>
              </w:rPr>
              <w:t xml:space="preserve">) με τα οποία να εξασφαλίζεται η ύπαρξη Συστήματος Διαχείρισης Ασφάλειας για τον αποτελεσματικό προγραμματισμό, την οργάνωση, τον έλεγχο των κινδύνων καθώς και την παρακολούθηση και αναθεώρηση των προληπτικών και προστατευτικών μέτρων που καθορίστηκαν στη γραπτή εκτίμηση κινδύνων. </w:t>
            </w:r>
            <w:r w:rsidR="0041797E">
              <w:rPr>
                <w:rFonts w:ascii="Arial" w:hAnsi="Arial" w:cs="Arial"/>
                <w:sz w:val="22"/>
                <w:szCs w:val="22"/>
              </w:rPr>
              <w:t xml:space="preserve"> </w:t>
            </w:r>
            <w:r w:rsidRPr="005924E7">
              <w:rPr>
                <w:rFonts w:ascii="Arial" w:hAnsi="Arial" w:cs="Arial"/>
                <w:sz w:val="22"/>
                <w:szCs w:val="22"/>
              </w:rPr>
              <w:t>Εάν δεν υπάρχει γραπτή εκτίμηση όλων των κινδύνων για όλα τα πρόσωπα τότε δεν μπορεί να υπάρχει σωστό και πλήρες Σύστημα Διαχείρισης Ασφάλειας.</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τηρούνται οι διαδικασίες που α</w:t>
            </w:r>
            <w:r w:rsidR="002075C2">
              <w:rPr>
                <w:rFonts w:ascii="Arial" w:hAnsi="Arial" w:cs="Arial"/>
                <w:sz w:val="22"/>
                <w:szCs w:val="22"/>
              </w:rPr>
              <w:t>ναφέρονται στα πιο πάνω έγγραφα που αφορούν στο Σύστημα Διαχείρισης.</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υπάρχει μητρώο εκπαίδευσης προσωπικού, στο οποίο να αναφέρονται μεταξύ άλλων ο τίτλος, το περιεχόμενο, η ημέρα διεξαγωγής και η διάρκεια της εκπαίδευσης, το όνομα του εκπαιδευτή καθώς και τα ονόματα των προσώπων που εκπαιδεύτηκαν.</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υπάρχει μητρώο ατυχημάτων</w:t>
            </w:r>
            <w:r w:rsidR="0041797E">
              <w:rPr>
                <w:rFonts w:ascii="Arial" w:hAnsi="Arial" w:cs="Arial"/>
                <w:sz w:val="22"/>
                <w:szCs w:val="22"/>
              </w:rPr>
              <w:t>,</w:t>
            </w:r>
            <w:r w:rsidRPr="005924E7">
              <w:rPr>
                <w:rFonts w:ascii="Arial" w:hAnsi="Arial" w:cs="Arial"/>
                <w:sz w:val="22"/>
                <w:szCs w:val="22"/>
              </w:rPr>
              <w:t xml:space="preserve"> επαγγελματικών ασθενειών </w:t>
            </w:r>
            <w:r w:rsidR="0041797E">
              <w:rPr>
                <w:rFonts w:ascii="Arial" w:hAnsi="Arial" w:cs="Arial"/>
                <w:sz w:val="22"/>
                <w:szCs w:val="22"/>
              </w:rPr>
              <w:t xml:space="preserve">και επικίνδυνων συμβάντων </w:t>
            </w:r>
            <w:r w:rsidRPr="005924E7">
              <w:rPr>
                <w:rFonts w:ascii="Arial" w:hAnsi="Arial" w:cs="Arial"/>
                <w:sz w:val="22"/>
                <w:szCs w:val="22"/>
              </w:rPr>
              <w:t>στο οποίο να αναφέρονται μεταξύ άλλων το όνομα του θύματος / του παθόντα, η ημερομηνία που συνέβηκε το ατύχημα ή διαπιστώθηκε η επαγγελματική ασθένεια</w:t>
            </w:r>
            <w:r w:rsidR="0041797E">
              <w:rPr>
                <w:rFonts w:ascii="Arial" w:hAnsi="Arial" w:cs="Arial"/>
                <w:sz w:val="22"/>
                <w:szCs w:val="22"/>
              </w:rPr>
              <w:t xml:space="preserve"> ή έγινε το επικίνδυνο συμβάν</w:t>
            </w:r>
            <w:r w:rsidRPr="005924E7">
              <w:rPr>
                <w:rFonts w:ascii="Arial" w:hAnsi="Arial" w:cs="Arial"/>
                <w:sz w:val="22"/>
                <w:szCs w:val="22"/>
              </w:rPr>
              <w:t>, σύντομη περιγραφή του ατυχήματος</w:t>
            </w:r>
            <w:r w:rsidR="0041797E">
              <w:rPr>
                <w:rFonts w:ascii="Arial" w:hAnsi="Arial" w:cs="Arial"/>
                <w:sz w:val="22"/>
                <w:szCs w:val="22"/>
              </w:rPr>
              <w:t xml:space="preserve"> / συμβάντος</w:t>
            </w:r>
            <w:r w:rsidRPr="005924E7">
              <w:rPr>
                <w:rFonts w:ascii="Arial" w:hAnsi="Arial" w:cs="Arial"/>
                <w:sz w:val="22"/>
                <w:szCs w:val="22"/>
              </w:rPr>
              <w:t xml:space="preserve"> και ο συνολικός αριθμός ημερών που απουσίαζε από την εργασία κάθε τραυματισμένος</w:t>
            </w:r>
            <w:r w:rsidR="0041797E">
              <w:rPr>
                <w:rFonts w:ascii="Arial" w:hAnsi="Arial" w:cs="Arial"/>
                <w:sz w:val="22"/>
                <w:szCs w:val="22"/>
              </w:rPr>
              <w:t xml:space="preserve"> </w:t>
            </w:r>
            <w:r w:rsidRPr="005924E7">
              <w:rPr>
                <w:rFonts w:ascii="Arial" w:hAnsi="Arial" w:cs="Arial"/>
                <w:sz w:val="22"/>
                <w:szCs w:val="22"/>
              </w:rPr>
              <w:t>/</w:t>
            </w:r>
            <w:r w:rsidR="0041797E">
              <w:rPr>
                <w:rFonts w:ascii="Arial" w:hAnsi="Arial" w:cs="Arial"/>
                <w:sz w:val="22"/>
                <w:szCs w:val="22"/>
              </w:rPr>
              <w:t xml:space="preserve"> </w:t>
            </w:r>
            <w:r w:rsidRPr="005924E7">
              <w:rPr>
                <w:rFonts w:ascii="Arial" w:hAnsi="Arial" w:cs="Arial"/>
                <w:sz w:val="22"/>
                <w:szCs w:val="22"/>
              </w:rPr>
              <w:t>ασθενής εργοδοτούμενος.</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 xml:space="preserve">Εάν ορίστηκαν </w:t>
            </w:r>
            <w:r w:rsidR="0077744F">
              <w:rPr>
                <w:rFonts w:ascii="Arial" w:hAnsi="Arial" w:cs="Arial"/>
                <w:sz w:val="22"/>
                <w:szCs w:val="22"/>
              </w:rPr>
              <w:t>εργοδοτούμενα</w:t>
            </w:r>
            <w:r w:rsidR="0041797E">
              <w:rPr>
                <w:rFonts w:ascii="Arial" w:hAnsi="Arial" w:cs="Arial"/>
                <w:sz w:val="22"/>
                <w:szCs w:val="22"/>
              </w:rPr>
              <w:t xml:space="preserve"> </w:t>
            </w:r>
            <w:r w:rsidRPr="005924E7">
              <w:rPr>
                <w:rFonts w:ascii="Arial" w:hAnsi="Arial" w:cs="Arial"/>
                <w:sz w:val="22"/>
                <w:szCs w:val="22"/>
              </w:rPr>
              <w:t xml:space="preserve">πρόσωπα για θέματα πυρασφάλειας και εκκένωσης των χώρων και εάν στα σχέδια εκκένωσης έχουν </w:t>
            </w:r>
            <w:r w:rsidR="0077744F">
              <w:rPr>
                <w:rFonts w:ascii="Arial" w:hAnsi="Arial" w:cs="Arial"/>
                <w:sz w:val="22"/>
                <w:szCs w:val="22"/>
              </w:rPr>
              <w:t>ληφθεί</w:t>
            </w:r>
            <w:r w:rsidRPr="005924E7">
              <w:rPr>
                <w:rFonts w:ascii="Arial" w:hAnsi="Arial" w:cs="Arial"/>
                <w:sz w:val="22"/>
                <w:szCs w:val="22"/>
              </w:rPr>
              <w:t xml:space="preserve"> υπόψη τα τρίτα πρόσωπα </w:t>
            </w:r>
            <w:r w:rsidR="0077744F">
              <w:rPr>
                <w:rFonts w:ascii="Arial" w:hAnsi="Arial" w:cs="Arial"/>
                <w:sz w:val="22"/>
                <w:szCs w:val="22"/>
              </w:rPr>
              <w:t xml:space="preserve">καθώς </w:t>
            </w:r>
            <w:r w:rsidRPr="005924E7">
              <w:rPr>
                <w:rFonts w:ascii="Arial" w:hAnsi="Arial" w:cs="Arial"/>
                <w:sz w:val="22"/>
                <w:szCs w:val="22"/>
              </w:rPr>
              <w:t xml:space="preserve">και </w:t>
            </w:r>
            <w:r w:rsidR="0077744F">
              <w:rPr>
                <w:rFonts w:ascii="Arial" w:hAnsi="Arial" w:cs="Arial"/>
                <w:sz w:val="22"/>
                <w:szCs w:val="22"/>
              </w:rPr>
              <w:t xml:space="preserve">τα </w:t>
            </w:r>
            <w:r w:rsidRPr="005924E7">
              <w:rPr>
                <w:rFonts w:ascii="Arial" w:hAnsi="Arial" w:cs="Arial"/>
                <w:sz w:val="22"/>
                <w:szCs w:val="22"/>
              </w:rPr>
              <w:t>άτομα με ειδικές ανάγκες.</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lastRenderedPageBreak/>
              <w:t xml:space="preserve">Εάν ορίστηκαν </w:t>
            </w:r>
            <w:r w:rsidR="0077744F">
              <w:rPr>
                <w:rFonts w:ascii="Arial" w:hAnsi="Arial" w:cs="Arial"/>
                <w:sz w:val="22"/>
                <w:szCs w:val="22"/>
              </w:rPr>
              <w:t>εργοδοτούμενα</w:t>
            </w:r>
            <w:r w:rsidR="0041797E">
              <w:rPr>
                <w:rFonts w:ascii="Arial" w:hAnsi="Arial" w:cs="Arial"/>
                <w:sz w:val="22"/>
                <w:szCs w:val="22"/>
              </w:rPr>
              <w:t xml:space="preserve"> </w:t>
            </w:r>
            <w:r w:rsidRPr="005924E7">
              <w:rPr>
                <w:rFonts w:ascii="Arial" w:hAnsi="Arial" w:cs="Arial"/>
                <w:sz w:val="22"/>
                <w:szCs w:val="22"/>
              </w:rPr>
              <w:t>πρόσωπα και εκπαιδεύτηκαν πάνω στις πρώτες βοήθειες καθώς και αν υπάρχει κατάλληλος εξοπλισμός στο υποστατικό για παροχή πρώτων βοηθειών.</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υπάρχει Ε</w:t>
            </w:r>
            <w:r w:rsidR="0041797E">
              <w:rPr>
                <w:rFonts w:ascii="Arial" w:hAnsi="Arial" w:cs="Arial"/>
                <w:sz w:val="22"/>
                <w:szCs w:val="22"/>
              </w:rPr>
              <w:t xml:space="preserve">πιτροπή </w:t>
            </w:r>
            <w:r w:rsidRPr="005924E7">
              <w:rPr>
                <w:rFonts w:ascii="Arial" w:hAnsi="Arial" w:cs="Arial"/>
                <w:sz w:val="22"/>
                <w:szCs w:val="22"/>
              </w:rPr>
              <w:t>Α</w:t>
            </w:r>
            <w:r w:rsidR="0041797E">
              <w:rPr>
                <w:rFonts w:ascii="Arial" w:hAnsi="Arial" w:cs="Arial"/>
                <w:sz w:val="22"/>
                <w:szCs w:val="22"/>
              </w:rPr>
              <w:t>σφάλειας (Ε.Α.)</w:t>
            </w:r>
            <w:r w:rsidRPr="005924E7">
              <w:rPr>
                <w:rFonts w:ascii="Arial" w:hAnsi="Arial" w:cs="Arial"/>
                <w:sz w:val="22"/>
                <w:szCs w:val="22"/>
              </w:rPr>
              <w:t>, όπου εργοδοτούνται δέκα ή περισσότερα πρόσωπα.</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η Ε.Α. συνεδριάζει κάθε τρεις μήνες, τηρεί πρακτικά και υποβάλλει εισηγήσεις στον εργοδότη σχετικά με τα προστατευτικά και προληπτικά μέτρα που πρέπει να λαμβάνονται.</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λαμβάνονται κατάλληλα μέτρα αποφυγής ατυχημάτων (π.χ. κατάλληλη σήμανση) σε σημεία ολισθηρών επιφανειών, όπως βρεγμένα πατώματα κατά τον καθαρισμό, σε περίπτωση χυσίματος υγρών στο πάτωμα, καθώς και αν υπάρχουν κατάλληλα κυγκλιδώματα</w:t>
            </w:r>
            <w:r w:rsidR="0077744F">
              <w:rPr>
                <w:rFonts w:ascii="Arial" w:hAnsi="Arial" w:cs="Arial"/>
                <w:sz w:val="22"/>
                <w:szCs w:val="22"/>
              </w:rPr>
              <w:t xml:space="preserve"> σε σκάλες ή περάσματα.</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λαμβάνονται κατάλληλα μέτρα αποφυγής ατυχημάτων από μεταφορικά οχήματα μέσω της σωστής συντήρησης τους, της κατάλληλης εκπαίδευσης του προσωπικού που τα χρησιμοποιεί,  της σωστής οργάνωσης εργασιών που απαιτούν τη χρήση μεταφορικών οχημάτων ώστε να μην υπάρχουν πολλοί άλλοι εργαζόμενοι και τρίτα πρόσωπα στους χώρους όπου διακινούνται ή να διαχωρίζονται οι διάδρομοι / χώροι διακίνησης τους.</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 xml:space="preserve">Εάν γίνεται πρόληψη ατυχημάτων </w:t>
            </w:r>
            <w:r w:rsidR="0077744F">
              <w:rPr>
                <w:rFonts w:ascii="Arial" w:hAnsi="Arial" w:cs="Arial"/>
                <w:sz w:val="22"/>
                <w:szCs w:val="22"/>
              </w:rPr>
              <w:t xml:space="preserve">/ ασθενειών </w:t>
            </w:r>
            <w:r w:rsidRPr="005924E7">
              <w:rPr>
                <w:rFonts w:ascii="Arial" w:hAnsi="Arial" w:cs="Arial"/>
                <w:sz w:val="22"/>
                <w:szCs w:val="22"/>
              </w:rPr>
              <w:t>από ανύψωση βάρους με έλεγχο του χώρου κάτω από το ανυψωτικό μέσο, με κατάλληλη εκπαίδευση του προσωπικού και συντήρηση ανυψωτικών μηχανημάτων.</w:t>
            </w:r>
          </w:p>
          <w:p w:rsidR="001601E1" w:rsidRPr="005924E7" w:rsidRDefault="001601E1" w:rsidP="001601E1">
            <w:pPr>
              <w:ind w:left="426"/>
              <w:jc w:val="both"/>
              <w:rPr>
                <w:rFonts w:ascii="Arial" w:hAnsi="Arial" w:cs="Arial"/>
                <w:sz w:val="22"/>
                <w:szCs w:val="22"/>
              </w:rPr>
            </w:pPr>
          </w:p>
          <w:p w:rsidR="005924E7"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 xml:space="preserve">Εάν λαμβάνονται μέτρα για πρόληψη ή αντιμετώπιση μυοσκελετικών προβλημάτων που οφείλονται σε επαναλαμβανόμενη εργασία (τοποθέτηση προϊόντων σε ράφια και ταμείο) ή σε μετακίνηση αγαθών μεγάλου βάρους. </w:t>
            </w:r>
            <w:r w:rsidR="0041797E">
              <w:rPr>
                <w:rFonts w:ascii="Arial" w:hAnsi="Arial" w:cs="Arial"/>
                <w:sz w:val="22"/>
                <w:szCs w:val="22"/>
              </w:rPr>
              <w:t xml:space="preserve"> </w:t>
            </w:r>
            <w:r w:rsidRPr="005924E7">
              <w:rPr>
                <w:rFonts w:ascii="Arial" w:hAnsi="Arial" w:cs="Arial"/>
                <w:sz w:val="22"/>
                <w:szCs w:val="22"/>
              </w:rPr>
              <w:t xml:space="preserve">Επιπλέον να ελεγχθεί και η παροχή </w:t>
            </w:r>
            <w:r w:rsidR="002075C2">
              <w:rPr>
                <w:rFonts w:ascii="Arial" w:hAnsi="Arial" w:cs="Arial"/>
                <w:sz w:val="22"/>
                <w:szCs w:val="22"/>
              </w:rPr>
              <w:t xml:space="preserve">κατάλληλου </w:t>
            </w:r>
            <w:r w:rsidRPr="005924E7">
              <w:rPr>
                <w:rFonts w:ascii="Arial" w:hAnsi="Arial" w:cs="Arial"/>
                <w:sz w:val="22"/>
                <w:szCs w:val="22"/>
              </w:rPr>
              <w:t>καθίσματος στους εργαζομένους καταστημάτων (πωλητές</w:t>
            </w:r>
            <w:r w:rsidR="0077744F">
              <w:rPr>
                <w:rFonts w:ascii="Arial" w:hAnsi="Arial" w:cs="Arial"/>
                <w:sz w:val="22"/>
                <w:szCs w:val="22"/>
              </w:rPr>
              <w:t xml:space="preserve"> / πωλήτριες</w:t>
            </w:r>
            <w:r w:rsidRPr="005924E7">
              <w:rPr>
                <w:rFonts w:ascii="Arial" w:hAnsi="Arial" w:cs="Arial"/>
                <w:sz w:val="22"/>
                <w:szCs w:val="22"/>
              </w:rPr>
              <w:t xml:space="preserve">). </w:t>
            </w:r>
          </w:p>
          <w:p w:rsidR="005924E7" w:rsidRPr="005924E7" w:rsidRDefault="005924E7" w:rsidP="005924E7">
            <w:pPr>
              <w:pStyle w:val="ListParagrap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υπάρχ</w:t>
            </w:r>
            <w:r w:rsidR="002075C2">
              <w:rPr>
                <w:rFonts w:ascii="Arial" w:hAnsi="Arial" w:cs="Arial"/>
                <w:sz w:val="22"/>
                <w:szCs w:val="22"/>
              </w:rPr>
              <w:t xml:space="preserve">ουν παράπονα εργοδοτουμένων </w:t>
            </w:r>
            <w:r w:rsidR="00D50E49">
              <w:rPr>
                <w:rFonts w:ascii="Arial" w:hAnsi="Arial" w:cs="Arial"/>
                <w:sz w:val="22"/>
                <w:szCs w:val="22"/>
              </w:rPr>
              <w:t xml:space="preserve">για τον </w:t>
            </w:r>
            <w:r w:rsidRPr="005924E7">
              <w:rPr>
                <w:rFonts w:ascii="Arial" w:hAnsi="Arial" w:cs="Arial"/>
                <w:sz w:val="22"/>
                <w:szCs w:val="22"/>
              </w:rPr>
              <w:t>εξαερισμό στο υποστατικό</w:t>
            </w:r>
            <w:r w:rsidR="00D50E49">
              <w:rPr>
                <w:rFonts w:ascii="Arial" w:hAnsi="Arial" w:cs="Arial"/>
                <w:sz w:val="22"/>
                <w:szCs w:val="22"/>
              </w:rPr>
              <w:t xml:space="preserve"> ή αν διαπιστώθηκε κατά την επιθεώρηση πρόβλημα στον εξαερισμό των χώρων που επιθεωρήθηκαν</w:t>
            </w:r>
            <w:r w:rsidR="0077744F">
              <w:rPr>
                <w:rFonts w:ascii="Arial" w:hAnsi="Arial" w:cs="Arial"/>
                <w:sz w:val="22"/>
                <w:szCs w:val="22"/>
              </w:rPr>
              <w:t>.</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υπάρχουν κατάλληλες έξοδοι κινδύνου που να ανοίγουν προς τα έξω και να μην παρεμποδίζεται το άμεσο άνοιγμα τους.</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 xml:space="preserve">Εάν υπάρχει μητρώο συντήρησης και ελέγχων </w:t>
            </w:r>
            <w:r w:rsidR="0077744F">
              <w:rPr>
                <w:rFonts w:ascii="Arial" w:hAnsi="Arial" w:cs="Arial"/>
                <w:sz w:val="22"/>
                <w:szCs w:val="22"/>
              </w:rPr>
              <w:t xml:space="preserve">μηχανημάτων, ηλεκτρομηχανολογικών εγκαταστάσεων, </w:t>
            </w:r>
            <w:r w:rsidRPr="005924E7">
              <w:rPr>
                <w:rFonts w:ascii="Arial" w:hAnsi="Arial" w:cs="Arial"/>
                <w:sz w:val="22"/>
                <w:szCs w:val="22"/>
              </w:rPr>
              <w:t>κυλιόμενων σκαλών και ανελκυστήρων (φορτίου ή επιβατών).</w:t>
            </w:r>
          </w:p>
          <w:p w:rsidR="001601E1" w:rsidRPr="005924E7" w:rsidRDefault="001601E1" w:rsidP="001601E1">
            <w:pPr>
              <w:ind w:left="426"/>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 xml:space="preserve">Εάν υπάρχουν άδειες για την αποθήκευση πετρελαίου και υγραερίου </w:t>
            </w:r>
            <w:r w:rsidR="00D50E49">
              <w:rPr>
                <w:rFonts w:ascii="Arial" w:hAnsi="Arial" w:cs="Arial"/>
                <w:sz w:val="22"/>
                <w:szCs w:val="22"/>
              </w:rPr>
              <w:t>όταν οι ποσότητες εμπίπτουν στην σχετική νομοθεσία</w:t>
            </w:r>
            <w:r w:rsidRPr="005924E7">
              <w:rPr>
                <w:rFonts w:ascii="Arial" w:hAnsi="Arial" w:cs="Arial"/>
                <w:sz w:val="22"/>
                <w:szCs w:val="22"/>
              </w:rPr>
              <w:t>.</w:t>
            </w:r>
          </w:p>
          <w:p w:rsidR="001601E1" w:rsidRPr="005924E7" w:rsidRDefault="001601E1" w:rsidP="001601E1">
            <w:pPr>
              <w:jc w:val="both"/>
              <w:rPr>
                <w:rFonts w:ascii="Arial" w:hAnsi="Arial" w:cs="Arial"/>
                <w:sz w:val="22"/>
                <w:szCs w:val="22"/>
              </w:rPr>
            </w:pPr>
          </w:p>
          <w:p w:rsidR="001601E1" w:rsidRPr="005924E7" w:rsidRDefault="001601E1" w:rsidP="001601E1">
            <w:pPr>
              <w:numPr>
                <w:ilvl w:val="0"/>
                <w:numId w:val="6"/>
              </w:numPr>
              <w:tabs>
                <w:tab w:val="clear" w:pos="2160"/>
                <w:tab w:val="num" w:pos="0"/>
              </w:tabs>
              <w:ind w:left="426" w:hanging="426"/>
              <w:jc w:val="both"/>
              <w:rPr>
                <w:rFonts w:ascii="Arial" w:hAnsi="Arial" w:cs="Arial"/>
                <w:sz w:val="22"/>
                <w:szCs w:val="22"/>
              </w:rPr>
            </w:pPr>
            <w:r w:rsidRPr="005924E7">
              <w:rPr>
                <w:rFonts w:ascii="Arial" w:hAnsi="Arial" w:cs="Arial"/>
                <w:sz w:val="22"/>
                <w:szCs w:val="22"/>
              </w:rPr>
              <w:t>Εάν υπάρχουν κατάλληλ</w:t>
            </w:r>
            <w:r w:rsidR="009260BD">
              <w:rPr>
                <w:rFonts w:ascii="Arial" w:hAnsi="Arial" w:cs="Arial"/>
                <w:sz w:val="22"/>
                <w:szCs w:val="22"/>
              </w:rPr>
              <w:t>α και επαρκή μέσα πυρανίχνευσης</w:t>
            </w:r>
            <w:r w:rsidR="0041797E">
              <w:rPr>
                <w:rFonts w:ascii="Arial" w:hAnsi="Arial" w:cs="Arial"/>
                <w:sz w:val="22"/>
                <w:szCs w:val="22"/>
              </w:rPr>
              <w:t xml:space="preserve"> </w:t>
            </w:r>
            <w:r w:rsidR="009260BD">
              <w:rPr>
                <w:rFonts w:ascii="Arial" w:hAnsi="Arial" w:cs="Arial"/>
                <w:sz w:val="22"/>
                <w:szCs w:val="22"/>
              </w:rPr>
              <w:t>και αν χρειάζεται πυρανιχνευτές και μέσα συναγερμού</w:t>
            </w:r>
            <w:r w:rsidRPr="005924E7">
              <w:rPr>
                <w:rFonts w:ascii="Arial" w:hAnsi="Arial" w:cs="Arial"/>
                <w:sz w:val="22"/>
                <w:szCs w:val="22"/>
              </w:rPr>
              <w:t xml:space="preserve"> αποφυγής πυρκαγιών και πυρόσβεσης.</w:t>
            </w:r>
          </w:p>
          <w:p w:rsidR="005552AE" w:rsidRPr="00D913DE" w:rsidRDefault="005552AE" w:rsidP="005924E7">
            <w:pPr>
              <w:tabs>
                <w:tab w:val="left" w:pos="0"/>
              </w:tabs>
              <w:ind w:left="480"/>
              <w:jc w:val="both"/>
              <w:rPr>
                <w:rFonts w:ascii="Arial" w:hAnsi="Arial" w:cs="Arial"/>
                <w:sz w:val="12"/>
                <w:szCs w:val="12"/>
              </w:rPr>
            </w:pPr>
          </w:p>
        </w:tc>
      </w:tr>
      <w:tr w:rsidR="005552AE" w:rsidRPr="00945386" w:rsidTr="002075C2">
        <w:trPr>
          <w:gridAfter w:val="1"/>
          <w:wAfter w:w="4111" w:type="dxa"/>
        </w:trPr>
        <w:tc>
          <w:tcPr>
            <w:tcW w:w="6062" w:type="dxa"/>
          </w:tcPr>
          <w:p w:rsidR="005552AE" w:rsidRPr="00A61BE6" w:rsidRDefault="005552AE" w:rsidP="005552AE">
            <w:pPr>
              <w:tabs>
                <w:tab w:val="left" w:pos="567"/>
              </w:tabs>
              <w:jc w:val="center"/>
              <w:rPr>
                <w:rFonts w:ascii="Arial" w:hAnsi="Arial" w:cs="Arial"/>
                <w:sz w:val="22"/>
                <w:szCs w:val="22"/>
              </w:rPr>
            </w:pPr>
          </w:p>
        </w:tc>
      </w:tr>
      <w:tr w:rsidR="005552AE" w:rsidRPr="00945386" w:rsidTr="002075C2">
        <w:trPr>
          <w:gridAfter w:val="1"/>
          <w:wAfter w:w="4111" w:type="dxa"/>
        </w:trPr>
        <w:tc>
          <w:tcPr>
            <w:tcW w:w="6062" w:type="dxa"/>
          </w:tcPr>
          <w:p w:rsidR="005552AE" w:rsidRPr="005552AE" w:rsidRDefault="005552AE" w:rsidP="005552AE">
            <w:pPr>
              <w:tabs>
                <w:tab w:val="left" w:pos="567"/>
              </w:tabs>
              <w:rPr>
                <w:rFonts w:ascii="Arial" w:hAnsi="Arial" w:cs="Arial"/>
                <w:sz w:val="22"/>
                <w:szCs w:val="22"/>
              </w:rPr>
            </w:pPr>
          </w:p>
        </w:tc>
      </w:tr>
      <w:tr w:rsidR="005552AE" w:rsidRPr="00945386" w:rsidTr="002075C2">
        <w:tc>
          <w:tcPr>
            <w:tcW w:w="6062" w:type="dxa"/>
          </w:tcPr>
          <w:p w:rsidR="005552AE" w:rsidRDefault="005552AE" w:rsidP="005552AE">
            <w:pPr>
              <w:tabs>
                <w:tab w:val="left" w:pos="567"/>
              </w:tabs>
              <w:rPr>
                <w:rFonts w:ascii="Arial" w:hAnsi="Arial" w:cs="Arial"/>
                <w:sz w:val="22"/>
                <w:szCs w:val="22"/>
              </w:rPr>
            </w:pPr>
          </w:p>
        </w:tc>
        <w:tc>
          <w:tcPr>
            <w:tcW w:w="4111" w:type="dxa"/>
          </w:tcPr>
          <w:p w:rsidR="005552AE" w:rsidRPr="00A61BE6" w:rsidRDefault="005552AE" w:rsidP="006A79B7">
            <w:pPr>
              <w:tabs>
                <w:tab w:val="left" w:pos="567"/>
              </w:tabs>
              <w:jc w:val="right"/>
              <w:rPr>
                <w:rFonts w:ascii="Arial" w:hAnsi="Arial" w:cs="Arial"/>
                <w:sz w:val="22"/>
                <w:szCs w:val="22"/>
              </w:rPr>
            </w:pPr>
          </w:p>
          <w:p w:rsidR="005552AE" w:rsidRPr="00A61BE6" w:rsidRDefault="005552AE" w:rsidP="006A79B7">
            <w:pPr>
              <w:tabs>
                <w:tab w:val="left" w:pos="567"/>
              </w:tabs>
              <w:jc w:val="center"/>
              <w:rPr>
                <w:rFonts w:ascii="Arial" w:hAnsi="Arial" w:cs="Arial"/>
                <w:sz w:val="22"/>
                <w:szCs w:val="22"/>
              </w:rPr>
            </w:pPr>
          </w:p>
        </w:tc>
      </w:tr>
      <w:tr w:rsidR="005552AE" w:rsidRPr="00945386" w:rsidTr="002075C2">
        <w:tc>
          <w:tcPr>
            <w:tcW w:w="6062" w:type="dxa"/>
          </w:tcPr>
          <w:p w:rsidR="005552AE" w:rsidRPr="009813F8" w:rsidRDefault="005552AE" w:rsidP="00FD051E">
            <w:pPr>
              <w:tabs>
                <w:tab w:val="left" w:pos="567"/>
              </w:tabs>
              <w:rPr>
                <w:rFonts w:ascii="Arial" w:hAnsi="Arial" w:cs="Arial"/>
                <w:sz w:val="22"/>
                <w:szCs w:val="22"/>
                <w:lang w:val="en-US"/>
              </w:rPr>
            </w:pPr>
            <w:r>
              <w:rPr>
                <w:rFonts w:ascii="Arial" w:hAnsi="Arial" w:cs="Arial"/>
                <w:sz w:val="22"/>
                <w:szCs w:val="22"/>
              </w:rPr>
              <w:t>ΙΑΝΟΥΑΡΙΟΣ 201</w:t>
            </w:r>
            <w:r w:rsidR="00CA3D6B">
              <w:rPr>
                <w:rFonts w:ascii="Arial" w:hAnsi="Arial" w:cs="Arial"/>
                <w:sz w:val="22"/>
                <w:szCs w:val="22"/>
              </w:rPr>
              <w:t>8</w:t>
            </w:r>
          </w:p>
        </w:tc>
        <w:tc>
          <w:tcPr>
            <w:tcW w:w="4111" w:type="dxa"/>
          </w:tcPr>
          <w:p w:rsidR="005552AE" w:rsidRPr="005552AE" w:rsidRDefault="0077744F" w:rsidP="005552AE">
            <w:pPr>
              <w:tabs>
                <w:tab w:val="left" w:pos="567"/>
              </w:tabs>
              <w:rPr>
                <w:rFonts w:ascii="Arial" w:hAnsi="Arial" w:cs="Arial"/>
                <w:sz w:val="22"/>
                <w:szCs w:val="22"/>
              </w:rPr>
            </w:pPr>
            <w:r w:rsidRPr="00A61BE6">
              <w:rPr>
                <w:rFonts w:ascii="Arial" w:hAnsi="Arial" w:cs="Arial"/>
                <w:sz w:val="22"/>
                <w:szCs w:val="22"/>
              </w:rPr>
              <w:t>ΤΜΗΜΑ ΕΠΙΘΕΩΡΗΣΗΣ ΕΡΓΑΣΙΑΣ</w:t>
            </w:r>
          </w:p>
        </w:tc>
      </w:tr>
    </w:tbl>
    <w:p w:rsidR="00D3682B" w:rsidRDefault="00D3682B" w:rsidP="00935DE5"/>
    <w:p w:rsidR="00D3682B" w:rsidRPr="00D3682B" w:rsidRDefault="00D3682B" w:rsidP="00935DE5">
      <w:pPr>
        <w:rPr>
          <w:lang w:val="pl-PL" w:eastAsia="pl-PL"/>
        </w:rPr>
      </w:pPr>
    </w:p>
    <w:p w:rsidR="00D3682B" w:rsidRPr="004F03C1" w:rsidRDefault="00D3682B" w:rsidP="00935DE5">
      <w:pPr>
        <w:tabs>
          <w:tab w:val="left" w:pos="480"/>
        </w:tabs>
        <w:rPr>
          <w:rStyle w:val="FontStyle30"/>
          <w:rFonts w:ascii="Arial" w:hAnsi="Arial" w:cs="Arial"/>
          <w:sz w:val="20"/>
          <w:lang w:val="el-GR" w:eastAsia="el-GR"/>
        </w:rPr>
      </w:pPr>
    </w:p>
    <w:sectPr w:rsidR="00D3682B" w:rsidRPr="004F03C1" w:rsidSect="0041797E">
      <w:footerReference w:type="even" r:id="rId7"/>
      <w:footerReference w:type="default" r:id="rId8"/>
      <w:footerReference w:type="first" r:id="rId9"/>
      <w:pgSz w:w="11907" w:h="16840" w:code="9"/>
      <w:pgMar w:top="1021" w:right="1021" w:bottom="1021" w:left="1021" w:header="567" w:footer="22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90C" w:rsidRDefault="0017790C">
      <w:r>
        <w:separator/>
      </w:r>
    </w:p>
  </w:endnote>
  <w:endnote w:type="continuationSeparator" w:id="0">
    <w:p w:rsidR="0017790C" w:rsidRDefault="0017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0C" w:rsidRDefault="00C91BD9" w:rsidP="00243388">
    <w:pPr>
      <w:pStyle w:val="Footer"/>
      <w:framePr w:wrap="around" w:vAnchor="text" w:hAnchor="margin" w:xAlign="right" w:y="1"/>
      <w:rPr>
        <w:rStyle w:val="PageNumber"/>
      </w:rPr>
    </w:pPr>
    <w:r>
      <w:rPr>
        <w:rStyle w:val="PageNumber"/>
      </w:rPr>
      <w:fldChar w:fldCharType="begin"/>
    </w:r>
    <w:r w:rsidR="0017790C">
      <w:rPr>
        <w:rStyle w:val="PageNumber"/>
      </w:rPr>
      <w:instrText xml:space="preserve">PAGE  </w:instrText>
    </w:r>
    <w:r>
      <w:rPr>
        <w:rStyle w:val="PageNumber"/>
      </w:rPr>
      <w:fldChar w:fldCharType="end"/>
    </w:r>
  </w:p>
  <w:p w:rsidR="0017790C" w:rsidRDefault="0017790C" w:rsidP="00377C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0C" w:rsidRDefault="00C91BD9" w:rsidP="00243388">
    <w:pPr>
      <w:pStyle w:val="Footer"/>
      <w:framePr w:wrap="around" w:vAnchor="text" w:hAnchor="margin" w:xAlign="right" w:y="1"/>
      <w:rPr>
        <w:rStyle w:val="PageNumber"/>
      </w:rPr>
    </w:pPr>
    <w:r>
      <w:rPr>
        <w:rStyle w:val="PageNumber"/>
      </w:rPr>
      <w:fldChar w:fldCharType="begin"/>
    </w:r>
    <w:r w:rsidR="0017790C">
      <w:rPr>
        <w:rStyle w:val="PageNumber"/>
      </w:rPr>
      <w:instrText xml:space="preserve">PAGE  </w:instrText>
    </w:r>
    <w:r>
      <w:rPr>
        <w:rStyle w:val="PageNumber"/>
      </w:rPr>
      <w:fldChar w:fldCharType="separate"/>
    </w:r>
    <w:r w:rsidR="00BB30F9">
      <w:rPr>
        <w:rStyle w:val="PageNumber"/>
        <w:noProof/>
      </w:rPr>
      <w:t>1</w:t>
    </w:r>
    <w:r>
      <w:rPr>
        <w:rStyle w:val="PageNumber"/>
      </w:rPr>
      <w:fldChar w:fldCharType="end"/>
    </w:r>
  </w:p>
  <w:p w:rsidR="0017790C" w:rsidRPr="00CE56A1" w:rsidRDefault="00C91BD9" w:rsidP="00377C23">
    <w:pPr>
      <w:pStyle w:val="Footer"/>
      <w:ind w:right="360"/>
      <w:rPr>
        <w:rFonts w:ascii="Arial" w:hAnsi="Arial" w:cs="Arial"/>
        <w:sz w:val="14"/>
        <w:szCs w:val="14"/>
        <w:lang w:val="pl-PL"/>
      </w:rPr>
    </w:pPr>
    <w:r w:rsidRPr="00CE56A1">
      <w:rPr>
        <w:rFonts w:ascii="Arial" w:hAnsi="Arial" w:cs="Arial"/>
        <w:sz w:val="14"/>
        <w:szCs w:val="14"/>
      </w:rPr>
      <w:fldChar w:fldCharType="begin"/>
    </w:r>
    <w:r w:rsidR="0017790C" w:rsidRPr="00CE56A1">
      <w:rPr>
        <w:rFonts w:ascii="Arial" w:hAnsi="Arial" w:cs="Arial"/>
        <w:sz w:val="14"/>
        <w:szCs w:val="14"/>
        <w:lang w:val="pl-PL"/>
      </w:rPr>
      <w:instrText xml:space="preserve"> FILENAME \p </w:instrText>
    </w:r>
    <w:r w:rsidRPr="00CE56A1">
      <w:rPr>
        <w:rFonts w:ascii="Arial" w:hAnsi="Arial" w:cs="Arial"/>
        <w:sz w:val="14"/>
        <w:szCs w:val="14"/>
      </w:rPr>
      <w:fldChar w:fldCharType="separate"/>
    </w:r>
    <w:r w:rsidR="00BB30F9">
      <w:rPr>
        <w:rFonts w:ascii="Arial" w:hAnsi="Arial" w:cs="Arial"/>
        <w:noProof/>
        <w:sz w:val="14"/>
        <w:szCs w:val="14"/>
        <w:lang w:val="pl-PL"/>
      </w:rPr>
      <w:t>Z:\TAY\01-EKSTRATEIES ASFALEIAS &amp; YGEIAS\YPERAGORES KAI XONDRIKO EMPORIO\2018\ODHGIES\20180122-Epistoli pros Syndesmous_Sin2.docx</w:t>
    </w:r>
    <w:r w:rsidRPr="00CE56A1">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90C" w:rsidRPr="00C222BA" w:rsidRDefault="00C91BD9" w:rsidP="005864E5">
    <w:pPr>
      <w:pStyle w:val="Footer"/>
      <w:jc w:val="right"/>
      <w:rPr>
        <w:rFonts w:ascii="Arial" w:hAnsi="Arial" w:cs="Arial"/>
        <w:sz w:val="16"/>
        <w:szCs w:val="16"/>
        <w:lang w:val="en-US"/>
      </w:rPr>
    </w:pPr>
    <w:r w:rsidRPr="00727888">
      <w:rPr>
        <w:rFonts w:ascii="Arial" w:hAnsi="Arial" w:cs="Arial"/>
        <w:sz w:val="16"/>
        <w:szCs w:val="16"/>
      </w:rPr>
      <w:fldChar w:fldCharType="begin"/>
    </w:r>
    <w:r w:rsidR="0017790C" w:rsidRPr="00C222BA">
      <w:rPr>
        <w:rFonts w:ascii="Arial" w:hAnsi="Arial" w:cs="Arial"/>
        <w:sz w:val="16"/>
        <w:szCs w:val="16"/>
        <w:lang w:val="en-US"/>
      </w:rPr>
      <w:instrText xml:space="preserve"> FILENAME \p </w:instrText>
    </w:r>
    <w:r w:rsidRPr="00727888">
      <w:rPr>
        <w:rFonts w:ascii="Arial" w:hAnsi="Arial" w:cs="Arial"/>
        <w:sz w:val="16"/>
        <w:szCs w:val="16"/>
      </w:rPr>
      <w:fldChar w:fldCharType="separate"/>
    </w:r>
    <w:r w:rsidR="00BB30F9">
      <w:rPr>
        <w:rFonts w:ascii="Arial" w:hAnsi="Arial" w:cs="Arial"/>
        <w:noProof/>
        <w:sz w:val="16"/>
        <w:szCs w:val="16"/>
        <w:lang w:val="en-US"/>
      </w:rPr>
      <w:t>Z:\TAY\01-EKSTRATEIES ASFALEIAS &amp; YGEIAS\YPERAGORES KAI XONDRIKO EMPORIO\2018\ODHGIES\20180122-Epistoli pros Syndesmous_Sin2.docx</w:t>
    </w:r>
    <w:r w:rsidRPr="0072788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90C" w:rsidRDefault="0017790C">
      <w:r>
        <w:separator/>
      </w:r>
    </w:p>
  </w:footnote>
  <w:footnote w:type="continuationSeparator" w:id="0">
    <w:p w:rsidR="0017790C" w:rsidRDefault="001779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7E3"/>
    <w:multiLevelType w:val="hybridMultilevel"/>
    <w:tmpl w:val="0C489CC2"/>
    <w:lvl w:ilvl="0" w:tplc="D2405DA2">
      <w:start w:val="1"/>
      <w:numFmt w:val="upperRoman"/>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0186E13"/>
    <w:multiLevelType w:val="hybridMultilevel"/>
    <w:tmpl w:val="A6048562"/>
    <w:lvl w:ilvl="0" w:tplc="CBDC3D72">
      <w:numFmt w:val="bullet"/>
      <w:lvlText w:val="-"/>
      <w:lvlJc w:val="left"/>
      <w:pPr>
        <w:ind w:left="366" w:hanging="360"/>
      </w:pPr>
      <w:rPr>
        <w:rFonts w:ascii="Arial" w:eastAsia="Times New Roman" w:hAnsi="Arial" w:cs="Arial"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2" w15:restartNumberingAfterBreak="0">
    <w:nsid w:val="22A018C8"/>
    <w:multiLevelType w:val="hybridMultilevel"/>
    <w:tmpl w:val="CE401A80"/>
    <w:lvl w:ilvl="0" w:tplc="FCE4575E">
      <w:start w:val="1"/>
      <w:numFmt w:val="bullet"/>
      <w:lvlText w:val=""/>
      <w:lvlJc w:val="left"/>
      <w:pPr>
        <w:tabs>
          <w:tab w:val="num" w:pos="720"/>
        </w:tabs>
        <w:ind w:left="720" w:hanging="360"/>
      </w:pPr>
      <w:rPr>
        <w:rFonts w:ascii="Symbol Tiger" w:hAnsi="Symbol Tiger" w:hint="default"/>
        <w:b/>
        <w:i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C80B1B"/>
    <w:multiLevelType w:val="singleLevel"/>
    <w:tmpl w:val="C11CD6E2"/>
    <w:name w:val="Tiret 1"/>
    <w:lvl w:ilvl="0">
      <w:start w:val="1"/>
      <w:numFmt w:val="decimal"/>
      <w:pStyle w:val="CharCharChar"/>
      <w:lvlText w:val="%1)"/>
      <w:lvlJc w:val="left"/>
      <w:pPr>
        <w:tabs>
          <w:tab w:val="num" w:pos="567"/>
        </w:tabs>
        <w:ind w:left="567" w:hanging="567"/>
      </w:pPr>
    </w:lvl>
  </w:abstractNum>
  <w:abstractNum w:abstractNumId="4" w15:restartNumberingAfterBreak="0">
    <w:nsid w:val="40195258"/>
    <w:multiLevelType w:val="hybridMultilevel"/>
    <w:tmpl w:val="14C6705A"/>
    <w:lvl w:ilvl="0" w:tplc="04090019">
      <w:start w:val="1"/>
      <w:numFmt w:val="decimal"/>
      <w:lvlText w:val="%1."/>
      <w:lvlJc w:val="left"/>
      <w:pPr>
        <w:tabs>
          <w:tab w:val="num" w:pos="2160"/>
        </w:tabs>
        <w:ind w:left="216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1B"/>
    <w:rsid w:val="00000BDB"/>
    <w:rsid w:val="00015BFB"/>
    <w:rsid w:val="00024D62"/>
    <w:rsid w:val="0003290F"/>
    <w:rsid w:val="00033415"/>
    <w:rsid w:val="00040816"/>
    <w:rsid w:val="000411BE"/>
    <w:rsid w:val="00055295"/>
    <w:rsid w:val="00065CCA"/>
    <w:rsid w:val="00075D4D"/>
    <w:rsid w:val="000A7D2D"/>
    <w:rsid w:val="000C1D15"/>
    <w:rsid w:val="000D4C57"/>
    <w:rsid w:val="000E101B"/>
    <w:rsid w:val="000E264B"/>
    <w:rsid w:val="000F1505"/>
    <w:rsid w:val="000F3CF2"/>
    <w:rsid w:val="001202FE"/>
    <w:rsid w:val="001220B3"/>
    <w:rsid w:val="00125186"/>
    <w:rsid w:val="00132EC6"/>
    <w:rsid w:val="001461BC"/>
    <w:rsid w:val="001601E1"/>
    <w:rsid w:val="0017790C"/>
    <w:rsid w:val="001805D9"/>
    <w:rsid w:val="001A7DED"/>
    <w:rsid w:val="001C1685"/>
    <w:rsid w:val="001F3DA0"/>
    <w:rsid w:val="00201664"/>
    <w:rsid w:val="0020416E"/>
    <w:rsid w:val="002075C2"/>
    <w:rsid w:val="00233E8D"/>
    <w:rsid w:val="0024278D"/>
    <w:rsid w:val="00243388"/>
    <w:rsid w:val="00243E83"/>
    <w:rsid w:val="002519CD"/>
    <w:rsid w:val="002631F5"/>
    <w:rsid w:val="00294E34"/>
    <w:rsid w:val="002D0CE3"/>
    <w:rsid w:val="002D1E70"/>
    <w:rsid w:val="002E16C6"/>
    <w:rsid w:val="002E1BF7"/>
    <w:rsid w:val="002E3D97"/>
    <w:rsid w:val="00325279"/>
    <w:rsid w:val="0036550F"/>
    <w:rsid w:val="0037191A"/>
    <w:rsid w:val="00377C23"/>
    <w:rsid w:val="00385F12"/>
    <w:rsid w:val="00393303"/>
    <w:rsid w:val="003960E4"/>
    <w:rsid w:val="003A3A5F"/>
    <w:rsid w:val="003A64E6"/>
    <w:rsid w:val="003A76AB"/>
    <w:rsid w:val="003B45F9"/>
    <w:rsid w:val="003D08FC"/>
    <w:rsid w:val="003D0ECF"/>
    <w:rsid w:val="003D1A40"/>
    <w:rsid w:val="003D34B9"/>
    <w:rsid w:val="003E1611"/>
    <w:rsid w:val="003E7E62"/>
    <w:rsid w:val="003F65E0"/>
    <w:rsid w:val="00401076"/>
    <w:rsid w:val="0041797E"/>
    <w:rsid w:val="00432742"/>
    <w:rsid w:val="00434AE0"/>
    <w:rsid w:val="004359DB"/>
    <w:rsid w:val="00457BC4"/>
    <w:rsid w:val="00473E7C"/>
    <w:rsid w:val="00474DAD"/>
    <w:rsid w:val="00486807"/>
    <w:rsid w:val="00491D8A"/>
    <w:rsid w:val="00495256"/>
    <w:rsid w:val="004B1D61"/>
    <w:rsid w:val="004B6053"/>
    <w:rsid w:val="004C6035"/>
    <w:rsid w:val="004D69AD"/>
    <w:rsid w:val="004D6B60"/>
    <w:rsid w:val="004E7536"/>
    <w:rsid w:val="005078DB"/>
    <w:rsid w:val="0051371E"/>
    <w:rsid w:val="00525ECB"/>
    <w:rsid w:val="00552088"/>
    <w:rsid w:val="005552AE"/>
    <w:rsid w:val="00565777"/>
    <w:rsid w:val="00571797"/>
    <w:rsid w:val="00573B80"/>
    <w:rsid w:val="005774DE"/>
    <w:rsid w:val="005864E5"/>
    <w:rsid w:val="005867BE"/>
    <w:rsid w:val="005924E7"/>
    <w:rsid w:val="0059738E"/>
    <w:rsid w:val="005A2B03"/>
    <w:rsid w:val="005A31F6"/>
    <w:rsid w:val="005A3DC4"/>
    <w:rsid w:val="005B5605"/>
    <w:rsid w:val="005C06E9"/>
    <w:rsid w:val="005D71E1"/>
    <w:rsid w:val="005F5F41"/>
    <w:rsid w:val="006254B4"/>
    <w:rsid w:val="00631168"/>
    <w:rsid w:val="006319D2"/>
    <w:rsid w:val="00634CAF"/>
    <w:rsid w:val="00640B3C"/>
    <w:rsid w:val="00651084"/>
    <w:rsid w:val="00653069"/>
    <w:rsid w:val="0065693B"/>
    <w:rsid w:val="00657583"/>
    <w:rsid w:val="00684C0D"/>
    <w:rsid w:val="00687102"/>
    <w:rsid w:val="00694676"/>
    <w:rsid w:val="006A79B7"/>
    <w:rsid w:val="006B5752"/>
    <w:rsid w:val="006B67BC"/>
    <w:rsid w:val="006D495A"/>
    <w:rsid w:val="0070492B"/>
    <w:rsid w:val="007152F0"/>
    <w:rsid w:val="0071746D"/>
    <w:rsid w:val="00725AD1"/>
    <w:rsid w:val="00741E22"/>
    <w:rsid w:val="00745415"/>
    <w:rsid w:val="00752D80"/>
    <w:rsid w:val="00756362"/>
    <w:rsid w:val="007727B9"/>
    <w:rsid w:val="0077744F"/>
    <w:rsid w:val="007925E1"/>
    <w:rsid w:val="007A45A9"/>
    <w:rsid w:val="007A76B8"/>
    <w:rsid w:val="007B02AA"/>
    <w:rsid w:val="007B0C40"/>
    <w:rsid w:val="007B5EE7"/>
    <w:rsid w:val="007B5F1B"/>
    <w:rsid w:val="007C3404"/>
    <w:rsid w:val="007C7D28"/>
    <w:rsid w:val="007E5F5A"/>
    <w:rsid w:val="007F3BDE"/>
    <w:rsid w:val="007F54D6"/>
    <w:rsid w:val="00800535"/>
    <w:rsid w:val="00815995"/>
    <w:rsid w:val="00827349"/>
    <w:rsid w:val="0084424B"/>
    <w:rsid w:val="00846F18"/>
    <w:rsid w:val="0086323D"/>
    <w:rsid w:val="00872A36"/>
    <w:rsid w:val="00877310"/>
    <w:rsid w:val="00877D05"/>
    <w:rsid w:val="0088275B"/>
    <w:rsid w:val="00893498"/>
    <w:rsid w:val="0089558F"/>
    <w:rsid w:val="00895A88"/>
    <w:rsid w:val="00897BE9"/>
    <w:rsid w:val="008C21B8"/>
    <w:rsid w:val="008C6CC2"/>
    <w:rsid w:val="008D1799"/>
    <w:rsid w:val="008E61FE"/>
    <w:rsid w:val="0090601B"/>
    <w:rsid w:val="00906E63"/>
    <w:rsid w:val="00924374"/>
    <w:rsid w:val="00925209"/>
    <w:rsid w:val="009260BD"/>
    <w:rsid w:val="009325F1"/>
    <w:rsid w:val="00935DE5"/>
    <w:rsid w:val="009474E6"/>
    <w:rsid w:val="009618B6"/>
    <w:rsid w:val="009813F8"/>
    <w:rsid w:val="00987AEB"/>
    <w:rsid w:val="0099282F"/>
    <w:rsid w:val="009B2D92"/>
    <w:rsid w:val="009C1818"/>
    <w:rsid w:val="009C201A"/>
    <w:rsid w:val="009D6F75"/>
    <w:rsid w:val="009E7E01"/>
    <w:rsid w:val="009F5473"/>
    <w:rsid w:val="00A021CD"/>
    <w:rsid w:val="00A120BC"/>
    <w:rsid w:val="00A15ABB"/>
    <w:rsid w:val="00A3115E"/>
    <w:rsid w:val="00A33C26"/>
    <w:rsid w:val="00A448D9"/>
    <w:rsid w:val="00A522AB"/>
    <w:rsid w:val="00A54C43"/>
    <w:rsid w:val="00A55789"/>
    <w:rsid w:val="00A564DD"/>
    <w:rsid w:val="00A577A8"/>
    <w:rsid w:val="00A60101"/>
    <w:rsid w:val="00A61BE6"/>
    <w:rsid w:val="00A70571"/>
    <w:rsid w:val="00AB4905"/>
    <w:rsid w:val="00AB71A3"/>
    <w:rsid w:val="00AD17E3"/>
    <w:rsid w:val="00AD3A0E"/>
    <w:rsid w:val="00AD5392"/>
    <w:rsid w:val="00AE520F"/>
    <w:rsid w:val="00B12947"/>
    <w:rsid w:val="00B15441"/>
    <w:rsid w:val="00B37FE3"/>
    <w:rsid w:val="00B86500"/>
    <w:rsid w:val="00BB30F9"/>
    <w:rsid w:val="00BB4D0F"/>
    <w:rsid w:val="00BB6E98"/>
    <w:rsid w:val="00BC62DD"/>
    <w:rsid w:val="00BD0BB9"/>
    <w:rsid w:val="00BF240E"/>
    <w:rsid w:val="00C01520"/>
    <w:rsid w:val="00C05B8C"/>
    <w:rsid w:val="00C12554"/>
    <w:rsid w:val="00C13521"/>
    <w:rsid w:val="00C15422"/>
    <w:rsid w:val="00C179A5"/>
    <w:rsid w:val="00C222BA"/>
    <w:rsid w:val="00C25332"/>
    <w:rsid w:val="00C31705"/>
    <w:rsid w:val="00C4180A"/>
    <w:rsid w:val="00C62F5A"/>
    <w:rsid w:val="00C672F4"/>
    <w:rsid w:val="00C75A0E"/>
    <w:rsid w:val="00C8413C"/>
    <w:rsid w:val="00C84C29"/>
    <w:rsid w:val="00C90A15"/>
    <w:rsid w:val="00C91BD9"/>
    <w:rsid w:val="00CA3D6B"/>
    <w:rsid w:val="00CE56A1"/>
    <w:rsid w:val="00D211A9"/>
    <w:rsid w:val="00D26307"/>
    <w:rsid w:val="00D30E7E"/>
    <w:rsid w:val="00D367D5"/>
    <w:rsid w:val="00D3682B"/>
    <w:rsid w:val="00D40B00"/>
    <w:rsid w:val="00D4452B"/>
    <w:rsid w:val="00D50E49"/>
    <w:rsid w:val="00D54461"/>
    <w:rsid w:val="00D56481"/>
    <w:rsid w:val="00D73AC8"/>
    <w:rsid w:val="00D73F8A"/>
    <w:rsid w:val="00D906C5"/>
    <w:rsid w:val="00D97F04"/>
    <w:rsid w:val="00DB1E35"/>
    <w:rsid w:val="00DB4C84"/>
    <w:rsid w:val="00DB6490"/>
    <w:rsid w:val="00DD59B5"/>
    <w:rsid w:val="00DE0B44"/>
    <w:rsid w:val="00E00E86"/>
    <w:rsid w:val="00E105A5"/>
    <w:rsid w:val="00E16A71"/>
    <w:rsid w:val="00E16D35"/>
    <w:rsid w:val="00E23AC7"/>
    <w:rsid w:val="00E32943"/>
    <w:rsid w:val="00E6660C"/>
    <w:rsid w:val="00E67166"/>
    <w:rsid w:val="00E840AE"/>
    <w:rsid w:val="00E913F0"/>
    <w:rsid w:val="00EA607D"/>
    <w:rsid w:val="00EA788E"/>
    <w:rsid w:val="00EB166D"/>
    <w:rsid w:val="00EC33EC"/>
    <w:rsid w:val="00ED6EB5"/>
    <w:rsid w:val="00ED742A"/>
    <w:rsid w:val="00F00858"/>
    <w:rsid w:val="00F0160F"/>
    <w:rsid w:val="00F228EF"/>
    <w:rsid w:val="00F25BE6"/>
    <w:rsid w:val="00F31AB5"/>
    <w:rsid w:val="00F34D8B"/>
    <w:rsid w:val="00F40294"/>
    <w:rsid w:val="00F417AF"/>
    <w:rsid w:val="00F52665"/>
    <w:rsid w:val="00F546D7"/>
    <w:rsid w:val="00F54809"/>
    <w:rsid w:val="00F55604"/>
    <w:rsid w:val="00F578BD"/>
    <w:rsid w:val="00F70EBE"/>
    <w:rsid w:val="00F71555"/>
    <w:rsid w:val="00F75D6E"/>
    <w:rsid w:val="00F8663F"/>
    <w:rsid w:val="00F92BDC"/>
    <w:rsid w:val="00F945E1"/>
    <w:rsid w:val="00FC5CFE"/>
    <w:rsid w:val="00FD051E"/>
    <w:rsid w:val="00FE43E3"/>
    <w:rsid w:val="00FF2665"/>
    <w:rsid w:val="00FF6E13"/>
    <w:rsid w:val="00FF77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5CF6A"/>
  <w15:docId w15:val="{FA1E6F66-E578-4E3C-8BDD-1360BCD2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23"/>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101B"/>
    <w:rPr>
      <w:color w:val="0000FF"/>
      <w:sz w:val="24"/>
      <w:szCs w:val="24"/>
      <w:u w:val="single"/>
      <w:lang w:val="pl-PL" w:eastAsia="pl-PL" w:bidi="ar-SA"/>
    </w:rPr>
  </w:style>
  <w:style w:type="paragraph" w:customStyle="1" w:styleId="CharCharChar">
    <w:name w:val="Char Char Char"/>
    <w:basedOn w:val="Normal"/>
    <w:rsid w:val="000E101B"/>
    <w:pPr>
      <w:numPr>
        <w:numId w:val="1"/>
      </w:numPr>
      <w:tabs>
        <w:tab w:val="clear" w:pos="567"/>
      </w:tabs>
      <w:ind w:left="0" w:firstLine="0"/>
    </w:pPr>
    <w:rPr>
      <w:lang w:val="pl-PL" w:eastAsia="pl-PL"/>
    </w:rPr>
  </w:style>
  <w:style w:type="table" w:styleId="TableGrid">
    <w:name w:val="Table Grid"/>
    <w:basedOn w:val="TableNormal"/>
    <w:rsid w:val="0075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0CE3"/>
    <w:pPr>
      <w:tabs>
        <w:tab w:val="center" w:pos="4153"/>
        <w:tab w:val="right" w:pos="8306"/>
      </w:tabs>
    </w:pPr>
  </w:style>
  <w:style w:type="paragraph" w:styleId="Footer">
    <w:name w:val="footer"/>
    <w:basedOn w:val="Normal"/>
    <w:rsid w:val="002D0CE3"/>
    <w:pPr>
      <w:tabs>
        <w:tab w:val="center" w:pos="4153"/>
        <w:tab w:val="right" w:pos="8306"/>
      </w:tabs>
    </w:pPr>
  </w:style>
  <w:style w:type="paragraph" w:styleId="BalloonText">
    <w:name w:val="Balloon Text"/>
    <w:basedOn w:val="Normal"/>
    <w:semiHidden/>
    <w:rsid w:val="005A2B03"/>
    <w:rPr>
      <w:rFonts w:ascii="Tahoma" w:hAnsi="Tahoma" w:cs="Tahoma"/>
      <w:sz w:val="16"/>
      <w:szCs w:val="16"/>
    </w:rPr>
  </w:style>
  <w:style w:type="paragraph" w:customStyle="1" w:styleId="CharCharChar0">
    <w:name w:val="Char Char Char"/>
    <w:basedOn w:val="Normal"/>
    <w:rsid w:val="00F945E1"/>
    <w:pPr>
      <w:tabs>
        <w:tab w:val="num" w:pos="567"/>
      </w:tabs>
    </w:pPr>
    <w:rPr>
      <w:lang w:val="pl-PL" w:eastAsia="pl-PL"/>
    </w:rPr>
  </w:style>
  <w:style w:type="character" w:customStyle="1" w:styleId="FontStyle30">
    <w:name w:val="Font Style30"/>
    <w:rsid w:val="00725AD1"/>
    <w:rPr>
      <w:rFonts w:ascii="Times New Roman" w:hAnsi="Times New Roman" w:cs="Times New Roman"/>
      <w:sz w:val="18"/>
      <w:szCs w:val="18"/>
      <w:lang w:val="pl-PL" w:eastAsia="pl-PL" w:bidi="ar-SA"/>
    </w:rPr>
  </w:style>
  <w:style w:type="character" w:styleId="PageNumber">
    <w:name w:val="page number"/>
    <w:basedOn w:val="DefaultParagraphFont"/>
    <w:rsid w:val="00725AD1"/>
  </w:style>
  <w:style w:type="paragraph" w:customStyle="1" w:styleId="Char">
    <w:name w:val="Char"/>
    <w:basedOn w:val="Normal"/>
    <w:rsid w:val="00495256"/>
    <w:rPr>
      <w:lang w:val="pl-PL" w:eastAsia="pl-PL"/>
    </w:rPr>
  </w:style>
  <w:style w:type="paragraph" w:styleId="ListParagraph">
    <w:name w:val="List Paragraph"/>
    <w:basedOn w:val="Normal"/>
    <w:uiPriority w:val="34"/>
    <w:qFormat/>
    <w:rsid w:val="00473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6120">
      <w:bodyDiv w:val="1"/>
      <w:marLeft w:val="0"/>
      <w:marRight w:val="0"/>
      <w:marTop w:val="0"/>
      <w:marBottom w:val="0"/>
      <w:divBdr>
        <w:top w:val="none" w:sz="0" w:space="0" w:color="auto"/>
        <w:left w:val="none" w:sz="0" w:space="0" w:color="auto"/>
        <w:bottom w:val="none" w:sz="0" w:space="0" w:color="auto"/>
        <w:right w:val="none" w:sz="0" w:space="0" w:color="auto"/>
      </w:divBdr>
    </w:div>
    <w:div w:id="1453205695">
      <w:bodyDiv w:val="1"/>
      <w:marLeft w:val="0"/>
      <w:marRight w:val="0"/>
      <w:marTop w:val="0"/>
      <w:marBottom w:val="0"/>
      <w:divBdr>
        <w:top w:val="none" w:sz="0" w:space="0" w:color="auto"/>
        <w:left w:val="none" w:sz="0" w:space="0" w:color="auto"/>
        <w:bottom w:val="none" w:sz="0" w:space="0" w:color="auto"/>
        <w:right w:val="none" w:sz="0" w:space="0" w:color="auto"/>
      </w:divBdr>
    </w:div>
    <w:div w:id="16539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Αναφέρομαι στο πιο πάνω θέμα και σας πληροφορώ ότι κατά την περίοδο Ιανουαρίου-Απριλίου 2011 θα διεξαχθεί εκστρατεία επιθεώρησης των εργοταξίων με στόχο τις Εργασίες σε Ύψος</vt:lpstr>
    </vt:vector>
  </TitlesOfParts>
  <Company>Hewlett-Packard Company</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Αναφέρομαι στο πιο πάνω θέμα και σας πληροφορώ ότι κατά την περίοδο Ιανουαρίου-Απριλίου 2011 θα διεξαχθεί εκστρατεία επιθεώρησης των εργοταξίων με στόχο τις Εργασίες σε Ύψος</dc:title>
  <dc:creator>User</dc:creator>
  <cp:lastModifiedBy>Kadi  Panayiota</cp:lastModifiedBy>
  <cp:revision>3</cp:revision>
  <cp:lastPrinted>2018-01-24T09:59:00Z</cp:lastPrinted>
  <dcterms:created xsi:type="dcterms:W3CDTF">2018-01-22T07:31:00Z</dcterms:created>
  <dcterms:modified xsi:type="dcterms:W3CDTF">2018-01-24T09:59:00Z</dcterms:modified>
</cp:coreProperties>
</file>