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2FB" w:rsidRDefault="00D72279" w:rsidP="004D2818">
      <w:pPr>
        <w:pStyle w:val="Heading2"/>
      </w:pPr>
      <w:bookmarkStart w:id="0" w:name="_GoBack"/>
      <w:bookmarkEnd w:id="0"/>
      <w:r>
        <w:tab/>
      </w:r>
    </w:p>
    <w:p w:rsidR="00E22CA8" w:rsidRPr="00D47B18" w:rsidRDefault="00DC6345" w:rsidP="004D2818">
      <w:pPr>
        <w:pStyle w:val="Heading2"/>
        <w:rPr>
          <w:rFonts w:asciiTheme="minorHAnsi" w:hAnsiTheme="minorHAnsi"/>
          <w:sz w:val="22"/>
          <w:szCs w:val="22"/>
        </w:rPr>
      </w:pPr>
      <w:r w:rsidRPr="00D47B18">
        <w:rPr>
          <w:rFonts w:asciiTheme="minorHAnsi" w:hAnsiTheme="minorHAnsi"/>
          <w:sz w:val="22"/>
          <w:szCs w:val="22"/>
        </w:rPr>
        <w:softHyphen/>
      </w:r>
      <w:r w:rsidRPr="00D47B18">
        <w:rPr>
          <w:rFonts w:asciiTheme="minorHAnsi" w:hAnsiTheme="minorHAnsi"/>
          <w:sz w:val="22"/>
          <w:szCs w:val="22"/>
        </w:rPr>
        <w:softHyphen/>
      </w:r>
      <w:r w:rsidR="00BC759B" w:rsidRPr="00D47B18">
        <w:rPr>
          <w:rFonts w:asciiTheme="minorHAnsi" w:hAnsiTheme="minorHAnsi"/>
          <w:sz w:val="22"/>
          <w:szCs w:val="22"/>
        </w:rPr>
        <w:t>PRESS RELEASE</w:t>
      </w:r>
      <w:r w:rsidR="00050C5A" w:rsidRPr="00D47B18">
        <w:rPr>
          <w:rFonts w:asciiTheme="minorHAnsi" w:hAnsiTheme="minorHAnsi"/>
          <w:sz w:val="22"/>
          <w:szCs w:val="22"/>
        </w:rPr>
        <w:t xml:space="preserve"> </w:t>
      </w:r>
    </w:p>
    <w:p w:rsidR="001357B0" w:rsidRPr="00D47B18" w:rsidRDefault="001357B0" w:rsidP="001357B0">
      <w:pPr>
        <w:rPr>
          <w:rFonts w:asciiTheme="minorHAnsi" w:hAnsiTheme="minorHAnsi"/>
          <w:sz w:val="22"/>
          <w:szCs w:val="22"/>
        </w:rPr>
      </w:pPr>
    </w:p>
    <w:p w:rsidR="00B8754E" w:rsidRPr="00B8754E" w:rsidRDefault="00B8754E" w:rsidP="00B8754E">
      <w:pPr>
        <w:rPr>
          <w:rFonts w:asciiTheme="majorHAnsi" w:hAnsiTheme="majorHAnsi"/>
          <w:sz w:val="32"/>
          <w:szCs w:val="32"/>
        </w:rPr>
      </w:pPr>
      <w:r w:rsidRPr="00B8754E">
        <w:rPr>
          <w:rFonts w:asciiTheme="majorHAnsi" w:hAnsiTheme="majorHAnsi"/>
          <w:sz w:val="32"/>
          <w:szCs w:val="32"/>
        </w:rPr>
        <w:t>IAEA Mission Finds Cyprus Radiation Safety Regulatory Body Competent, Identifies Areas in Need of Improvement</w:t>
      </w:r>
    </w:p>
    <w:p w:rsidR="00B8754E" w:rsidRDefault="00B8754E" w:rsidP="00B8754E">
      <w:pPr>
        <w:rPr>
          <w:sz w:val="32"/>
          <w:szCs w:val="32"/>
        </w:rPr>
      </w:pPr>
    </w:p>
    <w:p w:rsidR="00B8754E" w:rsidRPr="00B8754E" w:rsidRDefault="00B8754E" w:rsidP="00B8754E">
      <w:pPr>
        <w:rPr>
          <w:rFonts w:asciiTheme="minorHAnsi" w:hAnsiTheme="minorHAnsi"/>
        </w:rPr>
      </w:pPr>
      <w:r w:rsidRPr="00B8754E">
        <w:rPr>
          <w:rFonts w:asciiTheme="minorHAnsi" w:hAnsiTheme="minorHAnsi"/>
        </w:rPr>
        <w:t>22 February 2017</w:t>
      </w:r>
    </w:p>
    <w:p w:rsidR="00B8754E" w:rsidRDefault="00B8754E" w:rsidP="00B8754E">
      <w:pPr>
        <w:rPr>
          <w:sz w:val="32"/>
          <w:szCs w:val="32"/>
        </w:rPr>
      </w:pPr>
    </w:p>
    <w:p w:rsidR="00B8754E" w:rsidRPr="00B8754E" w:rsidRDefault="00B8754E" w:rsidP="00B8754E">
      <w:pPr>
        <w:rPr>
          <w:rFonts w:asciiTheme="minorHAnsi" w:hAnsiTheme="minorHAnsi"/>
        </w:rPr>
      </w:pPr>
      <w:r w:rsidRPr="00B8754E">
        <w:rPr>
          <w:rFonts w:asciiTheme="minorHAnsi" w:hAnsiTheme="minorHAnsi"/>
        </w:rPr>
        <w:t xml:space="preserve">Nicosia, Cyprus – An International Atomic Energy Agency (IAEA) team of experts said that Cyprus has a competent and dedicated radiation safety regulatory body that works for the continuous improvement of safety, but noted that a legal framework review and other steps would further enhance safety.  </w:t>
      </w:r>
    </w:p>
    <w:p w:rsidR="00B8754E" w:rsidRPr="00B8754E" w:rsidRDefault="00B8754E" w:rsidP="00B8754E">
      <w:pPr>
        <w:rPr>
          <w:rFonts w:asciiTheme="minorHAnsi" w:hAnsiTheme="minorHAnsi"/>
        </w:rPr>
      </w:pPr>
    </w:p>
    <w:p w:rsidR="00B8754E" w:rsidRPr="00B8754E" w:rsidRDefault="00B8754E" w:rsidP="00B8754E">
      <w:pPr>
        <w:rPr>
          <w:rFonts w:asciiTheme="minorHAnsi" w:hAnsiTheme="minorHAnsi"/>
        </w:rPr>
      </w:pPr>
      <w:r w:rsidRPr="00B8754E">
        <w:rPr>
          <w:rFonts w:asciiTheme="minorHAnsi" w:hAnsiTheme="minorHAnsi"/>
        </w:rPr>
        <w:t>The Integrated Regulatory Review Service (IRRS) team today concluded an 11-day mission to assess the regulatory framework for nuclear and radiation safety in the Republic of Cyprus. The Ministry for Labour, Welfare and Social Insurance (MLWSI) is the regulatory authority for regulatory oversight of nuclear and radiation safety, with the regulatory responsibilities carried out by the Department of Labour Inspection’s Radiation Inspection and Control Services (RICS).</w:t>
      </w:r>
    </w:p>
    <w:p w:rsidR="00B8754E" w:rsidRPr="00B8754E" w:rsidRDefault="00B8754E" w:rsidP="00B8754E">
      <w:pPr>
        <w:rPr>
          <w:rFonts w:asciiTheme="minorHAnsi" w:hAnsiTheme="minorHAnsi"/>
        </w:rPr>
      </w:pPr>
    </w:p>
    <w:p w:rsidR="00B8754E" w:rsidRPr="00B8754E" w:rsidRDefault="00B8754E" w:rsidP="00B8754E">
      <w:pPr>
        <w:rPr>
          <w:rFonts w:asciiTheme="minorHAnsi" w:hAnsiTheme="minorHAnsi"/>
        </w:rPr>
      </w:pPr>
      <w:r w:rsidRPr="00B8754E">
        <w:rPr>
          <w:rFonts w:asciiTheme="minorHAnsi" w:hAnsiTheme="minorHAnsi"/>
        </w:rPr>
        <w:t>“Cyprus’ legal and regulatory framework for radiation is largely in line with IAEA Safety Standards,” said team leader Christos Housiadas, Chairman of the Greek Atomic Energy Commission. “The regulatory body, although small, is competent, experienced and dedicated.”</w:t>
      </w:r>
    </w:p>
    <w:p w:rsidR="00B8754E" w:rsidRPr="00B8754E" w:rsidRDefault="00B8754E" w:rsidP="00B8754E">
      <w:pPr>
        <w:rPr>
          <w:rFonts w:asciiTheme="minorHAnsi" w:hAnsiTheme="minorHAnsi"/>
        </w:rPr>
      </w:pPr>
    </w:p>
    <w:p w:rsidR="00B8754E" w:rsidRPr="00B8754E" w:rsidRDefault="00B8754E" w:rsidP="00B8754E">
      <w:pPr>
        <w:rPr>
          <w:rFonts w:asciiTheme="minorHAnsi" w:hAnsiTheme="minorHAnsi"/>
        </w:rPr>
      </w:pPr>
      <w:r w:rsidRPr="00B8754E">
        <w:rPr>
          <w:rFonts w:asciiTheme="minorHAnsi" w:hAnsiTheme="minorHAnsi"/>
        </w:rPr>
        <w:t>IRRS missions are designed to strengthen the effectiveness of the national regulatory infrastructure for nuclear and radiation safety, while recognizing the responsibility of each State to ensure safety.</w:t>
      </w:r>
    </w:p>
    <w:p w:rsidR="00B8754E" w:rsidRPr="00B8754E" w:rsidRDefault="00B8754E" w:rsidP="00B8754E">
      <w:pPr>
        <w:rPr>
          <w:rFonts w:asciiTheme="minorHAnsi" w:hAnsiTheme="minorHAnsi"/>
        </w:rPr>
      </w:pPr>
    </w:p>
    <w:p w:rsidR="00B8754E" w:rsidRPr="00B8754E" w:rsidRDefault="00B8754E" w:rsidP="00B8754E">
      <w:pPr>
        <w:rPr>
          <w:rFonts w:asciiTheme="minorHAnsi" w:hAnsiTheme="minorHAnsi"/>
        </w:rPr>
      </w:pPr>
      <w:r w:rsidRPr="00B8754E">
        <w:rPr>
          <w:rFonts w:asciiTheme="minorHAnsi" w:hAnsiTheme="minorHAnsi"/>
        </w:rPr>
        <w:t xml:space="preserve">Cyprus uses radioactive sources in medical and other fields, but operates no nuclear power reactors or research reactors. </w:t>
      </w:r>
    </w:p>
    <w:p w:rsidR="00B8754E" w:rsidRPr="00B8754E" w:rsidRDefault="00B8754E" w:rsidP="00B8754E">
      <w:pPr>
        <w:rPr>
          <w:rFonts w:asciiTheme="minorHAnsi" w:hAnsiTheme="minorHAnsi"/>
        </w:rPr>
      </w:pPr>
      <w:r w:rsidRPr="00B8754E">
        <w:rPr>
          <w:rFonts w:asciiTheme="minorHAnsi" w:hAnsiTheme="minorHAnsi"/>
        </w:rPr>
        <w:t xml:space="preserve">The team of experts made recommendations and suggestions to the regulatory body and the Government to help them further enhance the country’s regulatory framework and functions in line with IAEA safety standards. </w:t>
      </w:r>
    </w:p>
    <w:p w:rsidR="00B8754E" w:rsidRPr="00B8754E" w:rsidRDefault="00B8754E" w:rsidP="00B8754E">
      <w:pPr>
        <w:rPr>
          <w:rFonts w:asciiTheme="minorHAnsi" w:hAnsiTheme="minorHAnsi"/>
        </w:rPr>
      </w:pPr>
    </w:p>
    <w:p w:rsidR="00B8754E" w:rsidRPr="00B8754E" w:rsidRDefault="00B8754E" w:rsidP="00B8754E">
      <w:pPr>
        <w:rPr>
          <w:rFonts w:asciiTheme="minorHAnsi" w:hAnsiTheme="minorHAnsi"/>
        </w:rPr>
      </w:pPr>
      <w:r w:rsidRPr="00B8754E">
        <w:rPr>
          <w:rFonts w:asciiTheme="minorHAnsi" w:hAnsiTheme="minorHAnsi"/>
        </w:rPr>
        <w:t xml:space="preserve">The team recognized that the MLWSI has developed regulations and regulatory requirements to carry out its duties in line with IAEA safety standards and international best practices, and that it continues to update regulatory requirements. </w:t>
      </w:r>
    </w:p>
    <w:p w:rsidR="00B8754E" w:rsidRPr="00B8754E" w:rsidRDefault="00B8754E" w:rsidP="00B8754E">
      <w:pPr>
        <w:rPr>
          <w:rFonts w:asciiTheme="minorHAnsi" w:hAnsiTheme="minorHAnsi"/>
        </w:rPr>
      </w:pPr>
    </w:p>
    <w:p w:rsidR="00B8754E" w:rsidRPr="00B8754E" w:rsidRDefault="00B8754E" w:rsidP="00B8754E">
      <w:pPr>
        <w:rPr>
          <w:rFonts w:asciiTheme="minorHAnsi" w:hAnsiTheme="minorHAnsi"/>
        </w:rPr>
      </w:pPr>
      <w:r w:rsidRPr="00B8754E">
        <w:rPr>
          <w:rFonts w:asciiTheme="minorHAnsi" w:hAnsiTheme="minorHAnsi"/>
        </w:rPr>
        <w:lastRenderedPageBreak/>
        <w:t>The 13-member IRRS team comprised experts and an observer from Egypt, Greece, Hungary, Ireland, The former Yugoslav Republic of Macedonia, Morocco, Slovenia, Spain, Sweden, Zimbabwe, as well as two IAEA staff members.</w:t>
      </w:r>
    </w:p>
    <w:p w:rsidR="00B8754E" w:rsidRPr="00B8754E" w:rsidRDefault="00B8754E" w:rsidP="00B8754E">
      <w:pPr>
        <w:rPr>
          <w:rFonts w:asciiTheme="minorHAnsi" w:hAnsiTheme="minorHAnsi"/>
        </w:rPr>
      </w:pPr>
    </w:p>
    <w:p w:rsidR="00B8754E" w:rsidRPr="00B8754E" w:rsidRDefault="00B8754E" w:rsidP="00B8754E">
      <w:pPr>
        <w:rPr>
          <w:rFonts w:asciiTheme="minorHAnsi" w:hAnsiTheme="minorHAnsi"/>
        </w:rPr>
      </w:pPr>
      <w:r w:rsidRPr="00B8754E">
        <w:rPr>
          <w:rFonts w:asciiTheme="minorHAnsi" w:hAnsiTheme="minorHAnsi"/>
        </w:rPr>
        <w:t xml:space="preserve">MLWSI Permanent Secretary Andreas Ashiotis said the Republic of Cyprus placed high priority on the protection of human health and the safety of workers and the public in relation to radiation protection, nuclear safety and nuclear security. </w:t>
      </w:r>
    </w:p>
    <w:p w:rsidR="00B8754E" w:rsidRPr="00B8754E" w:rsidRDefault="00B8754E" w:rsidP="00B8754E">
      <w:pPr>
        <w:rPr>
          <w:rFonts w:asciiTheme="minorHAnsi" w:hAnsiTheme="minorHAnsi"/>
        </w:rPr>
      </w:pPr>
    </w:p>
    <w:p w:rsidR="00B8754E" w:rsidRPr="00B8754E" w:rsidRDefault="00B8754E" w:rsidP="00B8754E">
      <w:pPr>
        <w:rPr>
          <w:rFonts w:asciiTheme="minorHAnsi" w:hAnsiTheme="minorHAnsi"/>
        </w:rPr>
      </w:pPr>
      <w:r w:rsidRPr="00B8754E">
        <w:rPr>
          <w:rFonts w:asciiTheme="minorHAnsi" w:hAnsiTheme="minorHAnsi"/>
        </w:rPr>
        <w:t xml:space="preserve">“The recommendations and suggestions made by the team will be considered this year as part of work to amend relevant legislation and the Ministry’s continuous efforts for improving the radiation protection, safety and security in the Republic of Cyprus,” he said. </w:t>
      </w:r>
    </w:p>
    <w:p w:rsidR="00B8754E" w:rsidRPr="00B8754E" w:rsidRDefault="00B8754E" w:rsidP="00B8754E">
      <w:pPr>
        <w:rPr>
          <w:rFonts w:asciiTheme="minorHAnsi" w:hAnsiTheme="minorHAnsi"/>
        </w:rPr>
      </w:pPr>
      <w:r w:rsidRPr="00B8754E">
        <w:rPr>
          <w:rFonts w:asciiTheme="minorHAnsi" w:hAnsiTheme="minorHAnsi"/>
        </w:rPr>
        <w:t xml:space="preserve">During the mission, team members observed regulatory activities and held interviews and discussions with RICS management and staff, as well as high-level managers of Department of Labour Inspection and the MLWSI. </w:t>
      </w:r>
    </w:p>
    <w:p w:rsidR="00B8754E" w:rsidRPr="00B8754E" w:rsidRDefault="00B8754E" w:rsidP="00B8754E">
      <w:pPr>
        <w:rPr>
          <w:rFonts w:asciiTheme="minorHAnsi" w:hAnsiTheme="minorHAnsi"/>
        </w:rPr>
      </w:pPr>
    </w:p>
    <w:p w:rsidR="00B8754E" w:rsidRPr="00B8754E" w:rsidRDefault="00B8754E" w:rsidP="00B8754E">
      <w:pPr>
        <w:rPr>
          <w:rFonts w:asciiTheme="minorHAnsi" w:hAnsiTheme="minorHAnsi"/>
        </w:rPr>
      </w:pPr>
      <w:r w:rsidRPr="00B8754E">
        <w:rPr>
          <w:rFonts w:asciiTheme="minorHAnsi" w:hAnsiTheme="minorHAnsi"/>
        </w:rPr>
        <w:t>The IRRS team identified good practices, including:</w:t>
      </w:r>
    </w:p>
    <w:p w:rsidR="00B8754E" w:rsidRPr="00B8754E" w:rsidRDefault="00B8754E" w:rsidP="00B8754E">
      <w:pPr>
        <w:rPr>
          <w:rFonts w:asciiTheme="minorHAnsi" w:hAnsiTheme="minorHAnsi"/>
        </w:rPr>
      </w:pPr>
      <w:r w:rsidRPr="00B8754E">
        <w:rPr>
          <w:rFonts w:asciiTheme="minorHAnsi" w:hAnsiTheme="minorHAnsi"/>
        </w:rPr>
        <w:t>•        RICS’ system for continuous assessment that establishes and addresses training needs among staff on an annual basis.</w:t>
      </w:r>
    </w:p>
    <w:p w:rsidR="00B8754E" w:rsidRPr="00B8754E" w:rsidRDefault="00B8754E" w:rsidP="00B8754E">
      <w:pPr>
        <w:rPr>
          <w:rFonts w:asciiTheme="minorHAnsi" w:hAnsiTheme="minorHAnsi"/>
        </w:rPr>
      </w:pPr>
      <w:r w:rsidRPr="00B8754E">
        <w:rPr>
          <w:rFonts w:asciiTheme="minorHAnsi" w:hAnsiTheme="minorHAnsi"/>
        </w:rPr>
        <w:t xml:space="preserve">•        A legal requirement that the regulatory body periodically conduct self-assessments and invite international peer reviews to continuously improve safety.  </w:t>
      </w:r>
    </w:p>
    <w:p w:rsidR="00B8754E" w:rsidRPr="00B8754E" w:rsidRDefault="00B8754E" w:rsidP="00B8754E">
      <w:pPr>
        <w:rPr>
          <w:rFonts w:asciiTheme="minorHAnsi" w:hAnsiTheme="minorHAnsi"/>
        </w:rPr>
      </w:pPr>
    </w:p>
    <w:p w:rsidR="00B8754E" w:rsidRPr="00B8754E" w:rsidRDefault="00B8754E" w:rsidP="00B8754E">
      <w:pPr>
        <w:rPr>
          <w:rFonts w:asciiTheme="minorHAnsi" w:hAnsiTheme="minorHAnsi"/>
        </w:rPr>
      </w:pPr>
      <w:r w:rsidRPr="00B8754E">
        <w:rPr>
          <w:rFonts w:asciiTheme="minorHAnsi" w:hAnsiTheme="minorHAnsi"/>
        </w:rPr>
        <w:t xml:space="preserve">The mission provided recommendations and suggestions for improvements, including: </w:t>
      </w:r>
    </w:p>
    <w:p w:rsidR="00B8754E" w:rsidRPr="00B8754E" w:rsidRDefault="00B8754E" w:rsidP="00B8754E">
      <w:pPr>
        <w:rPr>
          <w:rFonts w:asciiTheme="minorHAnsi" w:hAnsiTheme="minorHAnsi"/>
        </w:rPr>
      </w:pPr>
      <w:r w:rsidRPr="00B8754E">
        <w:rPr>
          <w:rFonts w:asciiTheme="minorHAnsi" w:hAnsiTheme="minorHAnsi"/>
        </w:rPr>
        <w:t>•        The Government should review the legal framework to ensure compliance with IAEA safety standards.</w:t>
      </w:r>
    </w:p>
    <w:p w:rsidR="00B8754E" w:rsidRPr="00B8754E" w:rsidRDefault="00B8754E" w:rsidP="00B8754E">
      <w:pPr>
        <w:rPr>
          <w:rFonts w:asciiTheme="minorHAnsi" w:hAnsiTheme="minorHAnsi"/>
        </w:rPr>
      </w:pPr>
      <w:r w:rsidRPr="00B8754E">
        <w:rPr>
          <w:rFonts w:asciiTheme="minorHAnsi" w:hAnsiTheme="minorHAnsi"/>
        </w:rPr>
        <w:t>•        The Government should provide RICS with adequate human and financial resources, and strengthen its powers and responsibilities in the licensing decision-making process.</w:t>
      </w:r>
    </w:p>
    <w:p w:rsidR="00B8754E" w:rsidRPr="00B8754E" w:rsidRDefault="00B8754E" w:rsidP="00B8754E">
      <w:pPr>
        <w:rPr>
          <w:rFonts w:asciiTheme="minorHAnsi" w:hAnsiTheme="minorHAnsi"/>
        </w:rPr>
      </w:pPr>
      <w:r w:rsidRPr="00B8754E">
        <w:rPr>
          <w:rFonts w:asciiTheme="minorHAnsi" w:hAnsiTheme="minorHAnsi"/>
        </w:rPr>
        <w:t xml:space="preserve">•        RICS should establish formal processes that are based on specific policies, principles and criteria, and follows specified procedures. </w:t>
      </w:r>
    </w:p>
    <w:p w:rsidR="00B8754E" w:rsidRPr="00B8754E" w:rsidRDefault="00B8754E" w:rsidP="00B8754E">
      <w:pPr>
        <w:rPr>
          <w:rFonts w:asciiTheme="minorHAnsi" w:hAnsiTheme="minorHAnsi"/>
        </w:rPr>
      </w:pPr>
    </w:p>
    <w:p w:rsidR="00B8754E" w:rsidRPr="00B8754E" w:rsidRDefault="00B8754E" w:rsidP="00B8754E">
      <w:pPr>
        <w:rPr>
          <w:rFonts w:asciiTheme="minorHAnsi" w:hAnsiTheme="minorHAnsi"/>
        </w:rPr>
      </w:pPr>
      <w:r w:rsidRPr="00B8754E">
        <w:rPr>
          <w:rFonts w:asciiTheme="minorHAnsi" w:hAnsiTheme="minorHAnsi"/>
        </w:rPr>
        <w:t xml:space="preserve">The final mission report will be provided to Cyprus’ Government in about three months. Authorities in Cyprus announced that they plan to make the report public. </w:t>
      </w:r>
    </w:p>
    <w:p w:rsidR="00B8754E" w:rsidRPr="00B8754E" w:rsidRDefault="00B8754E" w:rsidP="00B8754E">
      <w:pPr>
        <w:rPr>
          <w:rFonts w:asciiTheme="minorHAnsi" w:hAnsiTheme="minorHAnsi"/>
        </w:rPr>
      </w:pPr>
    </w:p>
    <w:p w:rsidR="00B8754E" w:rsidRPr="00B8754E" w:rsidRDefault="00B8754E" w:rsidP="00B8754E">
      <w:pPr>
        <w:rPr>
          <w:rFonts w:asciiTheme="minorHAnsi" w:hAnsiTheme="minorHAnsi"/>
        </w:rPr>
      </w:pPr>
    </w:p>
    <w:p w:rsidR="00B8754E" w:rsidRPr="00B8754E" w:rsidRDefault="00B8754E" w:rsidP="00B8754E">
      <w:pPr>
        <w:rPr>
          <w:rFonts w:asciiTheme="minorHAnsi" w:hAnsiTheme="minorHAnsi"/>
        </w:rPr>
      </w:pPr>
    </w:p>
    <w:p w:rsidR="00BC759B" w:rsidRPr="00B8754E" w:rsidRDefault="00BC759B" w:rsidP="00A77D51">
      <w:pPr>
        <w:rPr>
          <w:rFonts w:asciiTheme="minorHAnsi" w:hAnsiTheme="minorHAnsi"/>
        </w:rPr>
      </w:pPr>
    </w:p>
    <w:sectPr w:rsidR="00BC759B" w:rsidRPr="00B8754E" w:rsidSect="00CF475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440" w:bottom="1440" w:left="1440" w:header="79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E8E" w:rsidRDefault="00666E8E">
      <w:r>
        <w:separator/>
      </w:r>
    </w:p>
    <w:p w:rsidR="00666E8E" w:rsidRDefault="00666E8E"/>
    <w:p w:rsidR="00666E8E" w:rsidRDefault="00666E8E" w:rsidP="00B859AD"/>
  </w:endnote>
  <w:endnote w:type="continuationSeparator" w:id="0">
    <w:p w:rsidR="00666E8E" w:rsidRDefault="00666E8E">
      <w:r>
        <w:continuationSeparator/>
      </w:r>
    </w:p>
    <w:p w:rsidR="00666E8E" w:rsidRDefault="00666E8E"/>
    <w:p w:rsidR="00666E8E" w:rsidRDefault="00666E8E" w:rsidP="00B85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666E8E" w:rsidP="00B859AD">
    <w:sdt>
      <w:sdtPr>
        <w:id w:val="969400743"/>
        <w:temporary/>
        <w:showingPlcHdr/>
      </w:sdtPr>
      <w:sdtEndPr/>
      <w:sdtContent>
        <w:r w:rsidR="00471AD0">
          <w:t>[Type text]</w:t>
        </w:r>
      </w:sdtContent>
    </w:sdt>
    <w:r w:rsidR="00471AD0">
      <w:ptab w:relativeTo="margin" w:alignment="center" w:leader="none"/>
    </w:r>
    <w:sdt>
      <w:sdtPr>
        <w:id w:val="969400748"/>
        <w:temporary/>
        <w:showingPlcHdr/>
      </w:sdtPr>
      <w:sdtEndPr/>
      <w:sdtContent>
        <w:r w:rsidR="00471AD0">
          <w:t>[Type text]</w:t>
        </w:r>
      </w:sdtContent>
    </w:sdt>
    <w:r w:rsidR="00471AD0">
      <w:ptab w:relativeTo="margin" w:alignment="right" w:leader="none"/>
    </w:r>
    <w:sdt>
      <w:sdtPr>
        <w:id w:val="969400753"/>
        <w:temporary/>
        <w:showingPlcHdr/>
      </w:sdtPr>
      <w:sdtEndPr/>
      <w:sdtContent>
        <w:r w:rsidR="00471AD0">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Pr="00715A49" w:rsidRDefault="00666E8E" w:rsidP="00DC6345">
    <w:pPr>
      <w:pStyle w:val="Heading6"/>
      <w:pBdr>
        <w:top w:val="single" w:sz="4" w:space="12" w:color="548DD4" w:themeColor="text2" w:themeTint="99"/>
      </w:pBdr>
      <w:rPr>
        <w:color w:val="548DD4" w:themeColor="text2" w:themeTint="99"/>
      </w:rPr>
    </w:pPr>
    <w:sdt>
      <w:sdtPr>
        <w:rPr>
          <w:color w:val="548DD4" w:themeColor="text2" w:themeTint="99"/>
        </w:rPr>
        <w:alias w:val="Title"/>
        <w:id w:val="1520426042"/>
        <w:dataBinding w:prefixMappings="xmlns:ns0='http://schemas.openxmlformats.org/package/2006/metadata/core-properties' xmlns:ns1='http://purl.org/dc/elements/1.1/'" w:xpath="/ns0:coreProperties[1]/ns1:title[1]" w:storeItemID="{6C3C8BC8-F283-45AE-878A-BAB7291924A1}"/>
        <w:text/>
      </w:sdtPr>
      <w:sdtEndPr/>
      <w:sdtContent>
        <w:r w:rsidR="00471AD0" w:rsidRPr="00715A49">
          <w:rPr>
            <w:color w:val="548DD4" w:themeColor="text2" w:themeTint="99"/>
          </w:rPr>
          <w:t>IAEA  |  Media and Outreach Section  |  Office of Public Information and Communication</w:t>
        </w:r>
      </w:sdtContent>
    </w:sdt>
  </w:p>
  <w:p w:rsidR="00471AD0" w:rsidRPr="00715A49" w:rsidRDefault="00471AD0" w:rsidP="0046370F">
    <w:pPr>
      <w:jc w:val="center"/>
      <w:rPr>
        <w:rFonts w:ascii="Arial" w:hAnsi="Arial" w:cs="Arial"/>
        <w:color w:val="548DD4" w:themeColor="text2" w:themeTint="99"/>
        <w:sz w:val="20"/>
        <w:szCs w:val="20"/>
      </w:rPr>
    </w:pPr>
    <w:r w:rsidRPr="00715A49">
      <w:rPr>
        <w:rFonts w:ascii="Arial" w:hAnsi="Arial" w:cs="Arial"/>
        <w:color w:val="548DD4" w:themeColor="text2" w:themeTint="99"/>
        <w:sz w:val="20"/>
        <w:szCs w:val="20"/>
      </w:rPr>
      <w:t>press@iaea.org | www.iaea.org  | Tel: +43-1-2600 21273  |  Fax: +43-1-2600 29610</w:t>
    </w:r>
  </w:p>
  <w:p w:rsidR="00471AD0" w:rsidRPr="00715A49" w:rsidRDefault="00471AD0" w:rsidP="0046370F">
    <w:pPr>
      <w:jc w:val="center"/>
      <w:rPr>
        <w:rFonts w:ascii="Arial" w:hAnsi="Arial" w:cs="Arial"/>
        <w:color w:val="548DD4" w:themeColor="text2" w:themeTint="99"/>
        <w:sz w:val="20"/>
        <w:szCs w:val="20"/>
      </w:rPr>
    </w:pPr>
  </w:p>
  <w:p w:rsidR="00471AD0" w:rsidRPr="00715A49" w:rsidRDefault="00471AD0" w:rsidP="0046370F">
    <w:pPr>
      <w:jc w:val="center"/>
      <w:rPr>
        <w:rFonts w:ascii="Arial" w:hAnsi="Arial" w:cs="Arial"/>
        <w:color w:val="548DD4" w:themeColor="text2" w:themeTint="99"/>
        <w:sz w:val="20"/>
        <w:szCs w:val="20"/>
      </w:rPr>
    </w:pPr>
    <w:r w:rsidRPr="00715A49">
      <w:rPr>
        <w:rStyle w:val="PageNumber"/>
        <w:rFonts w:ascii="Arial" w:hAnsi="Arial" w:cs="Arial"/>
        <w:color w:val="548DD4" w:themeColor="text2" w:themeTint="99"/>
        <w:sz w:val="20"/>
        <w:szCs w:val="20"/>
      </w:rPr>
      <w:t xml:space="preserve">Page </w:t>
    </w:r>
    <w:r w:rsidR="00AC7D79" w:rsidRPr="00715A49">
      <w:rPr>
        <w:rStyle w:val="PageNumber"/>
        <w:rFonts w:ascii="Arial" w:hAnsi="Arial" w:cs="Arial"/>
        <w:color w:val="548DD4" w:themeColor="text2" w:themeTint="99"/>
        <w:sz w:val="20"/>
        <w:szCs w:val="20"/>
      </w:rPr>
      <w:fldChar w:fldCharType="begin"/>
    </w:r>
    <w:r w:rsidRPr="00715A49">
      <w:rPr>
        <w:rStyle w:val="PageNumber"/>
        <w:rFonts w:ascii="Arial" w:hAnsi="Arial" w:cs="Arial"/>
        <w:color w:val="548DD4" w:themeColor="text2" w:themeTint="99"/>
        <w:sz w:val="20"/>
        <w:szCs w:val="20"/>
      </w:rPr>
      <w:instrText xml:space="preserve"> PAGE </w:instrText>
    </w:r>
    <w:r w:rsidR="00AC7D79" w:rsidRPr="00715A49">
      <w:rPr>
        <w:rStyle w:val="PageNumber"/>
        <w:rFonts w:ascii="Arial" w:hAnsi="Arial" w:cs="Arial"/>
        <w:color w:val="548DD4" w:themeColor="text2" w:themeTint="99"/>
        <w:sz w:val="20"/>
        <w:szCs w:val="20"/>
      </w:rPr>
      <w:fldChar w:fldCharType="separate"/>
    </w:r>
    <w:r w:rsidR="002C6832">
      <w:rPr>
        <w:rStyle w:val="PageNumber"/>
        <w:rFonts w:ascii="Arial" w:hAnsi="Arial" w:cs="Arial"/>
        <w:noProof/>
        <w:color w:val="548DD4" w:themeColor="text2" w:themeTint="99"/>
        <w:sz w:val="20"/>
        <w:szCs w:val="20"/>
      </w:rPr>
      <w:t>1</w:t>
    </w:r>
    <w:r w:rsidR="00AC7D79" w:rsidRPr="00715A49">
      <w:rPr>
        <w:rStyle w:val="PageNumber"/>
        <w:rFonts w:ascii="Arial" w:hAnsi="Arial" w:cs="Arial"/>
        <w:color w:val="548DD4" w:themeColor="text2" w:themeTint="99"/>
        <w:sz w:val="20"/>
        <w:szCs w:val="20"/>
      </w:rPr>
      <w:fldChar w:fldCharType="end"/>
    </w:r>
    <w:r w:rsidRPr="00715A49">
      <w:rPr>
        <w:rStyle w:val="PageNumber"/>
        <w:rFonts w:ascii="Arial" w:hAnsi="Arial" w:cs="Arial"/>
        <w:color w:val="548DD4" w:themeColor="text2" w:themeTint="99"/>
        <w:sz w:val="20"/>
        <w:szCs w:val="20"/>
      </w:rPr>
      <w:t xml:space="preserve"> of </w:t>
    </w:r>
    <w:r w:rsidR="00AC7D79" w:rsidRPr="00715A49">
      <w:rPr>
        <w:rStyle w:val="PageNumber"/>
        <w:rFonts w:ascii="Arial" w:hAnsi="Arial" w:cs="Arial"/>
        <w:color w:val="548DD4" w:themeColor="text2" w:themeTint="99"/>
        <w:sz w:val="20"/>
        <w:szCs w:val="20"/>
      </w:rPr>
      <w:fldChar w:fldCharType="begin"/>
    </w:r>
    <w:r w:rsidRPr="00715A49">
      <w:rPr>
        <w:rStyle w:val="PageNumber"/>
        <w:rFonts w:ascii="Arial" w:hAnsi="Arial" w:cs="Arial"/>
        <w:color w:val="548DD4" w:themeColor="text2" w:themeTint="99"/>
        <w:sz w:val="20"/>
        <w:szCs w:val="20"/>
      </w:rPr>
      <w:instrText xml:space="preserve"> NUMPAGES </w:instrText>
    </w:r>
    <w:r w:rsidR="00AC7D79" w:rsidRPr="00715A49">
      <w:rPr>
        <w:rStyle w:val="PageNumber"/>
        <w:rFonts w:ascii="Arial" w:hAnsi="Arial" w:cs="Arial"/>
        <w:color w:val="548DD4" w:themeColor="text2" w:themeTint="99"/>
        <w:sz w:val="20"/>
        <w:szCs w:val="20"/>
      </w:rPr>
      <w:fldChar w:fldCharType="separate"/>
    </w:r>
    <w:r w:rsidR="002C6832">
      <w:rPr>
        <w:rStyle w:val="PageNumber"/>
        <w:rFonts w:ascii="Arial" w:hAnsi="Arial" w:cs="Arial"/>
        <w:noProof/>
        <w:color w:val="548DD4" w:themeColor="text2" w:themeTint="99"/>
        <w:sz w:val="20"/>
        <w:szCs w:val="20"/>
      </w:rPr>
      <w:t>2</w:t>
    </w:r>
    <w:r w:rsidR="00AC7D79" w:rsidRPr="00715A49">
      <w:rPr>
        <w:rStyle w:val="PageNumber"/>
        <w:rFonts w:ascii="Arial" w:hAnsi="Arial" w:cs="Arial"/>
        <w:color w:val="548DD4" w:themeColor="text2" w:themeTint="99"/>
        <w:sz w:val="20"/>
        <w:szCs w:val="20"/>
      </w:rPr>
      <w:fldChar w:fldCharType="end"/>
    </w:r>
    <w:r w:rsidRPr="00715A49">
      <w:rPr>
        <w:rFonts w:ascii="Arial" w:hAnsi="Arial" w:cs="Arial"/>
        <w:color w:val="548DD4" w:themeColor="text2" w:themeTint="99"/>
        <w:sz w:val="20"/>
        <w:szCs w:val="20"/>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Pr="002140EE" w:rsidRDefault="00666E8E" w:rsidP="009B2FCC">
    <w:pPr>
      <w:pStyle w:val="Header"/>
      <w:pBdr>
        <w:between w:val="single" w:sz="4" w:space="1" w:color="4F81BD" w:themeColor="accent1"/>
      </w:pBdr>
      <w:spacing w:line="276" w:lineRule="auto"/>
      <w:jc w:val="center"/>
      <w:rPr>
        <w:rFonts w:ascii="Myriad Pro" w:eastAsiaTheme="minorEastAsia" w:hAnsi="Myriad Pro" w:cstheme="minorBidi"/>
        <w:b/>
        <w:bCs/>
        <w:color w:val="595959" w:themeColor="text1" w:themeTint="A6"/>
        <w:sz w:val="22"/>
        <w:szCs w:val="22"/>
        <w:lang w:eastAsia="ja-JP"/>
      </w:rPr>
    </w:pPr>
    <w:sdt>
      <w:sdtPr>
        <w:rPr>
          <w:rFonts w:ascii="Myriad Pro" w:eastAsiaTheme="minorEastAsia" w:hAnsi="Myriad Pro" w:cstheme="minorBidi"/>
          <w:b/>
          <w:bCs/>
          <w:color w:val="595959" w:themeColor="text1" w:themeTint="A6"/>
          <w:sz w:val="22"/>
          <w:szCs w:val="22"/>
          <w:lang w:eastAsia="ja-JP"/>
        </w:rPr>
        <w:alias w:val="Title"/>
        <w:id w:val="-42830382"/>
        <w:dataBinding w:prefixMappings="xmlns:ns0='http://schemas.openxmlformats.org/package/2006/metadata/core-properties' xmlns:ns1='http://purl.org/dc/elements/1.1/'" w:xpath="/ns0:coreProperties[1]/ns1:title[1]" w:storeItemID="{6C3C8BC8-F283-45AE-878A-BAB7291924A1}"/>
        <w:text/>
      </w:sdtPr>
      <w:sdtEndPr/>
      <w:sdtContent>
        <w:r w:rsidR="00471AD0">
          <w:rPr>
            <w:rFonts w:ascii="Myriad Pro" w:eastAsiaTheme="minorEastAsia" w:hAnsi="Myriad Pro" w:cstheme="minorBidi"/>
            <w:b/>
            <w:bCs/>
            <w:color w:val="595959" w:themeColor="text1" w:themeTint="A6"/>
            <w:sz w:val="22"/>
            <w:szCs w:val="22"/>
            <w:lang w:eastAsia="ja-JP"/>
          </w:rPr>
          <w:t>IAEA  |  Media and Outreach Section  |  Office of Public Information and Communication</w:t>
        </w:r>
      </w:sdtContent>
    </w:sdt>
  </w:p>
  <w:p w:rsidR="00471AD0" w:rsidRPr="002140EE" w:rsidRDefault="00471AD0" w:rsidP="009B2FCC">
    <w:pPr>
      <w:pStyle w:val="Header"/>
      <w:pBdr>
        <w:between w:val="single" w:sz="4" w:space="1" w:color="4F81BD" w:themeColor="accent1"/>
      </w:pBdr>
      <w:spacing w:line="276" w:lineRule="auto"/>
      <w:jc w:val="center"/>
      <w:rPr>
        <w:rFonts w:ascii="Myriad Pro" w:hAnsi="Myriad Pro"/>
        <w:color w:val="595959" w:themeColor="text1" w:themeTint="A6"/>
        <w:sz w:val="22"/>
        <w:szCs w:val="22"/>
      </w:rPr>
    </w:pPr>
    <w:r w:rsidRPr="002140EE">
      <w:rPr>
        <w:rFonts w:ascii="Myriad Pro" w:hAnsi="Myriad Pro"/>
        <w:color w:val="595959" w:themeColor="text1" w:themeTint="A6"/>
        <w:sz w:val="22"/>
        <w:szCs w:val="22"/>
      </w:rPr>
      <w:t>press@iaea.org | www.iaea.org | Tel: +43-1-2600 21273 | Fax: +43-1-2600 29610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E8E" w:rsidRDefault="00666E8E">
      <w:r>
        <w:separator/>
      </w:r>
    </w:p>
    <w:p w:rsidR="00666E8E" w:rsidRDefault="00666E8E"/>
    <w:p w:rsidR="00666E8E" w:rsidRDefault="00666E8E" w:rsidP="00B859AD"/>
  </w:footnote>
  <w:footnote w:type="continuationSeparator" w:id="0">
    <w:p w:rsidR="00666E8E" w:rsidRDefault="00666E8E">
      <w:r>
        <w:continuationSeparator/>
      </w:r>
    </w:p>
    <w:p w:rsidR="00666E8E" w:rsidRDefault="00666E8E"/>
    <w:p w:rsidR="00666E8E" w:rsidRDefault="00666E8E" w:rsidP="00B859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666E8E">
    <w:pPr>
      <w:pStyle w:val="Header"/>
    </w:pPr>
    <w:sdt>
      <w:sdtPr>
        <w:id w:val="171999623"/>
        <w:temporary/>
        <w:showingPlcHdr/>
      </w:sdtPr>
      <w:sdtEndPr/>
      <w:sdtContent>
        <w:r w:rsidR="00471AD0">
          <w:t>[Type text]</w:t>
        </w:r>
      </w:sdtContent>
    </w:sdt>
    <w:r w:rsidR="00471AD0">
      <w:ptab w:relativeTo="margin" w:alignment="center" w:leader="none"/>
    </w:r>
    <w:sdt>
      <w:sdtPr>
        <w:id w:val="171999624"/>
        <w:temporary/>
        <w:showingPlcHdr/>
      </w:sdtPr>
      <w:sdtEndPr/>
      <w:sdtContent>
        <w:r w:rsidR="00471AD0">
          <w:t>[Type text]</w:t>
        </w:r>
      </w:sdtContent>
    </w:sdt>
    <w:r w:rsidR="00471AD0">
      <w:ptab w:relativeTo="margin" w:alignment="right" w:leader="none"/>
    </w:r>
    <w:sdt>
      <w:sdtPr>
        <w:id w:val="171999625"/>
        <w:temporary/>
        <w:showingPlcHdr/>
      </w:sdtPr>
      <w:sdtEndPr/>
      <w:sdtContent>
        <w:r w:rsidR="00471AD0">
          <w:t>[Type text]</w:t>
        </w:r>
      </w:sdtContent>
    </w:sdt>
  </w:p>
  <w:p w:rsidR="00471AD0" w:rsidRDefault="00666E8E" w:rsidP="00B859AD">
    <w:r>
      <w:rPr>
        <w:rFonts w:ascii="Cambria"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1.15pt;height:559.1pt;z-index:-251656192;mso-wrap-edited:f;mso-position-horizontal:center;mso-position-horizontal-relative:margin;mso-position-vertical:center;mso-position-vertical-relative:margin" wrapcoords="11374 28 11266 57 11015 376 10979 492 4556 869 3623 1362 2798 1420 2224 1884 1901 2348 1506 2580 1291 2754 968 3276 753 3740 645 4204 645 4667 143 4783 0 4870 -35 5595 -35 6059 71 6523 287 6987 143 7248 107 7480 179 7915 574 8842 861 9277 789 9538 825 9770 1004 10234 1578 11133 2081 11597 2296 12090 2691 12525 3372 12988 3444 13075 4592 13452 5130 13481 3946 13713 3875 13742 4233 13945 4233 14032 5597 14380 8683 14409 8037 14873 7929 15018 8180 15163 10800 15337 10800 17193 1901 17511 1901 21542 20918 21542 18980 17511 10800 17193 10800 15337 13132 15163 13670 15047 13670 14844 16289 14380 17437 14003 17437 13945 17653 13800 16971 13481 17186 13452 18155 13046 18908 12525 19267 12090 19518 11597 19985 11133 20272 10698 20774 9741 20702 9277 20990 8842 21205 8379 21348 7915 21420 7451 21384 7306 21241 6987 21456 6523 21564 6059 21600 5595 21456 4928 21312 4812 20882 4667 20846 4204 20738 3740 20523 3276 20200 2754 19590 2348 19231 1884 19196 1652 18621 1449 17832 1362 17366 1130 16792 898 13132 492 13096 260 12378 28 11697 28 11374 28">
          <v:imagedata r:id="rId1" o:title="basic_Logo E_vertical_Blue" gain="19661f" blacklevel="22938f"/>
          <w10:wrap anchorx="margin" anchory="margin"/>
        </v:shape>
      </w:pict>
    </w:r>
    <w:r w:rsidR="00471AD0">
      <w:rPr>
        <w:rFonts w:ascii="Cambria" w:hAnsi="Cambria"/>
      </w:rPr>
      <w: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Pr="00471AD0" w:rsidRDefault="002C6832" w:rsidP="00471AD0">
    <w:pPr>
      <w:pStyle w:val="Heading4"/>
      <w:pBdr>
        <w:bottom w:val="single" w:sz="4" w:space="1" w:color="FFFFFF" w:themeColor="background1"/>
      </w:pBdr>
      <w:rPr>
        <w:color w:val="FFFFFF" w:themeColor="background1"/>
      </w:rPr>
    </w:pPr>
    <w:r>
      <w:rPr>
        <w:noProof/>
        <w:lang w:val="el-GR" w:eastAsia="el-GR"/>
      </w:rPr>
      <mc:AlternateContent>
        <mc:Choice Requires="wps">
          <w:drawing>
            <wp:anchor distT="0" distB="0" distL="114300" distR="114300" simplePos="0" relativeHeight="251662335" behindDoc="1" locked="0" layoutInCell="1" allowOverlap="1">
              <wp:simplePos x="0" y="0"/>
              <wp:positionH relativeFrom="column">
                <wp:posOffset>-1205230</wp:posOffset>
              </wp:positionH>
              <wp:positionV relativeFrom="paragraph">
                <wp:posOffset>-833755</wp:posOffset>
              </wp:positionV>
              <wp:extent cx="8009890" cy="1691640"/>
              <wp:effectExtent l="57150" t="19050" r="67310" b="99060"/>
              <wp:wrapNone/>
              <wp:docPr id="2" name="Wav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9890" cy="1691640"/>
                      </a:xfrm>
                      <a:prstGeom prst="wave">
                        <a:avLst>
                          <a:gd name="adj1" fmla="val 2290"/>
                          <a:gd name="adj2" fmla="val -134"/>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0F9099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 o:spid="_x0000_s1026" type="#_x0000_t64" style="position:absolute;margin-left:-94.9pt;margin-top:-65.65pt;width:630.7pt;height:133.2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" adj="495,10771" fillcolor="#254163 [1636]" strokecolor="#4579b8 [3044]">
              <v:fill color2="#4477b6 [3012]" rotate="t" angle="180" colors="0 #2c5d98;52429f #3c7bc7;1 #3a7ccb" focus="100%" type="gradient">
                <o:fill v:ext="view" type="gradientUnscaled"/>
              </v:fill>
              <v:shadow on="t" color="black" opacity="22937f" origin=",.5" offset="0,.63889mm"/>
              <v:path arrowok="t"/>
            </v:shape>
          </w:pict>
        </mc:Fallback>
      </mc:AlternateContent>
    </w:r>
    <w:r w:rsidR="00471AD0" w:rsidRPr="00471AD0">
      <w:rPr>
        <w:color w:val="FFFFFF" w:themeColor="background1"/>
      </w:rPr>
      <w:t xml:space="preserve">INTERNATIONAL ATOMIC ENERGY AGENCY </w:t>
    </w:r>
    <w:r w:rsidR="00471AD0" w:rsidRPr="0046370F">
      <w:rPr>
        <w:noProof/>
        <w:lang w:val="el-GR" w:eastAsia="el-GR"/>
      </w:rPr>
      <w:drawing>
        <wp:anchor distT="0" distB="0" distL="114300" distR="114300" simplePos="0" relativeHeight="251663360" behindDoc="0" locked="1" layoutInCell="1" allowOverlap="0">
          <wp:simplePos x="0" y="0"/>
          <wp:positionH relativeFrom="page">
            <wp:posOffset>6736715</wp:posOffset>
          </wp:positionH>
          <wp:positionV relativeFrom="page">
            <wp:posOffset>360045</wp:posOffset>
          </wp:positionV>
          <wp:extent cx="648335" cy="804545"/>
          <wp:effectExtent l="0" t="0" r="12065" b="8255"/>
          <wp:wrapTight wrapText="bothSides">
            <wp:wrapPolygon edited="0">
              <wp:start x="9309" y="0"/>
              <wp:lineTo x="0" y="0"/>
              <wp:lineTo x="0" y="21140"/>
              <wp:lineTo x="21156" y="21140"/>
              <wp:lineTo x="21156" y="682"/>
              <wp:lineTo x="14386" y="0"/>
              <wp:lineTo x="930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ic_Logo E_vertical_Blue.eps"/>
                  <pic:cNvPicPr/>
                </pic:nvPicPr>
                <pic:blipFill>
                  <a:blip r:embed="rId1">
                    <a:extLst>
                      <a:ext uri="{28A0092B-C50C-407E-A947-70E740481C1C}">
                        <a14:useLocalDpi xmlns:a14="http://schemas.microsoft.com/office/drawing/2010/main" val="0"/>
                      </a:ext>
                    </a:extLst>
                  </a:blip>
                  <a:stretch>
                    <a:fillRect/>
                  </a:stretch>
                </pic:blipFill>
                <pic:spPr>
                  <a:xfrm>
                    <a:off x="0" y="0"/>
                    <a:ext cx="648335" cy="804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471AD0" w:rsidRPr="00471AD0" w:rsidRDefault="00471AD0" w:rsidP="00B472FB">
    <w:pPr>
      <w:pStyle w:val="Heading5"/>
      <w:pBdr>
        <w:between w:val="none" w:sz="0" w:space="0" w:color="auto"/>
      </w:pBdr>
      <w:spacing w:before="120"/>
      <w:rPr>
        <w:color w:val="FFFFFF" w:themeColor="background1"/>
      </w:rPr>
    </w:pPr>
    <w:r w:rsidRPr="00471AD0">
      <w:rPr>
        <w:color w:val="FFFFFF" w:themeColor="background1"/>
      </w:rPr>
      <w:t>OFFICE OF PUBLIC INFORMATION AND COMMUNICATION</w:t>
    </w:r>
  </w:p>
  <w:p w:rsidR="00471AD0" w:rsidRPr="0046370F" w:rsidRDefault="00471AD0" w:rsidP="004D2818">
    <w:pPr>
      <w:pStyle w:val="Heading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Pr="00A55F74" w:rsidRDefault="00666E8E" w:rsidP="009624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451.15pt;height:559.1pt;z-index:-251655168;mso-wrap-edited:f;mso-position-horizontal:center;mso-position-horizontal-relative:margin;mso-position-vertical:center;mso-position-vertical-relative:margin" wrapcoords="11374 28 11266 57 11015 376 10979 492 4556 869 3623 1362 2798 1420 2224 1884 1901 2348 1506 2580 1291 2754 968 3276 753 3740 645 4204 645 4667 143 4783 0 4870 -35 5595 -35 6059 71 6523 287 6987 143 7248 107 7480 179 7915 574 8842 861 9277 789 9538 825 9770 1004 10234 1578 11133 2081 11597 2296 12090 2691 12525 3372 12988 3444 13075 4592 13452 5130 13481 3946 13713 3875 13742 4233 13945 4233 14032 5597 14380 8683 14409 8037 14873 7929 15018 8180 15163 10800 15337 10800 17193 1901 17511 1901 21542 20918 21542 18980 17511 10800 17193 10800 15337 13132 15163 13670 15047 13670 14844 16289 14380 17437 14003 17437 13945 17653 13800 16971 13481 17186 13452 18155 13046 18908 12525 19267 12090 19518 11597 19985 11133 20272 10698 20774 9741 20702 9277 20990 8842 21205 8379 21348 7915 21420 7451 21384 7306 21241 6987 21456 6523 21564 6059 21600 5595 21456 4928 21312 4812 20882 4667 20846 4204 20738 3740 20523 3276 20200 2754 19590 2348 19231 1884 19196 1652 18621 1449 17832 1362 17366 1130 16792 898 13132 492 13096 260 12378 28 11697 28 11374 28">
          <v:imagedata r:id="rId1" o:title="basic_Logo E_vertical_Blue" gain="19661f" blacklevel="22938f"/>
          <w10:wrap anchorx="margin" anchory="margin"/>
        </v:shape>
      </w:pict>
    </w:r>
    <w:r w:rsidR="00471AD0">
      <w:rPr>
        <w:noProof/>
        <w:lang w:val="el-GR" w:eastAsia="el-GR"/>
      </w:rPr>
      <w:drawing>
        <wp:anchor distT="0" distB="0" distL="114300" distR="114300" simplePos="0" relativeHeight="251658240" behindDoc="0" locked="0" layoutInCell="1" allowOverlap="1">
          <wp:simplePos x="0" y="0"/>
          <wp:positionH relativeFrom="margin">
            <wp:posOffset>-539115</wp:posOffset>
          </wp:positionH>
          <wp:positionV relativeFrom="margin">
            <wp:posOffset>-353060</wp:posOffset>
          </wp:positionV>
          <wp:extent cx="7552690" cy="10115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_Header.png"/>
                  <pic:cNvPicPr/>
                </pic:nvPicPr>
                <pic:blipFill>
                  <a:blip r:embed="rId2">
                    <a:extLst>
                      <a:ext uri="{28A0092B-C50C-407E-A947-70E740481C1C}">
                        <a14:useLocalDpi xmlns:a14="http://schemas.microsoft.com/office/drawing/2010/main" val="0"/>
                      </a:ext>
                    </a:extLst>
                  </a:blip>
                  <a:stretch>
                    <a:fillRect/>
                  </a:stretch>
                </pic:blipFill>
                <pic:spPr>
                  <a:xfrm>
                    <a:off x="0" y="0"/>
                    <a:ext cx="7552690" cy="1011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2399"/>
    <w:multiLevelType w:val="hybridMultilevel"/>
    <w:tmpl w:val="C1B0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45DF7"/>
    <w:multiLevelType w:val="multilevel"/>
    <w:tmpl w:val="14F0AB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883625"/>
    <w:multiLevelType w:val="hybridMultilevel"/>
    <w:tmpl w:val="C2548A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D6788"/>
    <w:multiLevelType w:val="hybridMultilevel"/>
    <w:tmpl w:val="48E881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1B6A5D"/>
    <w:multiLevelType w:val="hybridMultilevel"/>
    <w:tmpl w:val="92FC6DB8"/>
    <w:lvl w:ilvl="0" w:tplc="D6CCFF8E">
      <w:start w:val="27"/>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C61A21"/>
    <w:multiLevelType w:val="multilevel"/>
    <w:tmpl w:val="3850C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A07C84"/>
    <w:multiLevelType w:val="hybridMultilevel"/>
    <w:tmpl w:val="7476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A13CDE"/>
    <w:multiLevelType w:val="hybridMultilevel"/>
    <w:tmpl w:val="85A23D9E"/>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8" w15:restartNumberingAfterBreak="0">
    <w:nsid w:val="3D79143F"/>
    <w:multiLevelType w:val="hybridMultilevel"/>
    <w:tmpl w:val="B4A6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F6882"/>
    <w:multiLevelType w:val="multilevel"/>
    <w:tmpl w:val="30E6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91666"/>
    <w:multiLevelType w:val="hybridMultilevel"/>
    <w:tmpl w:val="64B4E484"/>
    <w:lvl w:ilvl="0" w:tplc="F5A2F31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D41CD"/>
    <w:multiLevelType w:val="hybridMultilevel"/>
    <w:tmpl w:val="96641D60"/>
    <w:lvl w:ilvl="0" w:tplc="6C1E42B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B618D"/>
    <w:multiLevelType w:val="multilevel"/>
    <w:tmpl w:val="48DEE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DB5FC9"/>
    <w:multiLevelType w:val="hybridMultilevel"/>
    <w:tmpl w:val="D994A5F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665806D8"/>
    <w:multiLevelType w:val="multilevel"/>
    <w:tmpl w:val="8D7C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1D3E51"/>
    <w:multiLevelType w:val="hybridMultilevel"/>
    <w:tmpl w:val="B53A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96D05"/>
    <w:multiLevelType w:val="multilevel"/>
    <w:tmpl w:val="4AE4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0"/>
  </w:num>
  <w:num w:numId="4">
    <w:abstractNumId w:val="6"/>
  </w:num>
  <w:num w:numId="5">
    <w:abstractNumId w:val="1"/>
  </w:num>
  <w:num w:numId="6">
    <w:abstractNumId w:val="5"/>
  </w:num>
  <w:num w:numId="7">
    <w:abstractNumId w:val="12"/>
  </w:num>
  <w:num w:numId="8">
    <w:abstractNumId w:val="11"/>
  </w:num>
  <w:num w:numId="9">
    <w:abstractNumId w:val="2"/>
  </w:num>
  <w:num w:numId="10">
    <w:abstractNumId w:val="10"/>
  </w:num>
  <w:num w:numId="11">
    <w:abstractNumId w:val="9"/>
  </w:num>
  <w:num w:numId="12">
    <w:abstractNumId w:val="16"/>
  </w:num>
  <w:num w:numId="13">
    <w:abstractNumId w:val="15"/>
  </w:num>
  <w:num w:numId="14">
    <w:abstractNumId w:val="8"/>
  </w:num>
  <w:num w:numId="15">
    <w:abstractNumId w:val="4"/>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rawingGridHorizontalSpacing w:val="119"/>
  <w:drawingGridVerticalSpacing w:val="181"/>
  <w:displayHorizontalDrawingGridEvery w:val="2"/>
  <w:displayVerticalDrawingGridEvery w:val="2"/>
  <w:doNotUseMarginsForDrawingGridOrigin/>
  <w:drawingGridHorizontalOrigin w:val="851"/>
  <w:drawingGridVerticalOrigin w:val="567"/>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76"/>
    <w:rsid w:val="000401A4"/>
    <w:rsid w:val="00050C5A"/>
    <w:rsid w:val="00055070"/>
    <w:rsid w:val="000566F4"/>
    <w:rsid w:val="0005697D"/>
    <w:rsid w:val="00095336"/>
    <w:rsid w:val="000B699F"/>
    <w:rsid w:val="00104709"/>
    <w:rsid w:val="00110C97"/>
    <w:rsid w:val="00116A14"/>
    <w:rsid w:val="001357B0"/>
    <w:rsid w:val="00175058"/>
    <w:rsid w:val="00186405"/>
    <w:rsid w:val="001E3F84"/>
    <w:rsid w:val="00205891"/>
    <w:rsid w:val="002140EE"/>
    <w:rsid w:val="0029170D"/>
    <w:rsid w:val="002954EC"/>
    <w:rsid w:val="002977FD"/>
    <w:rsid w:val="002B317E"/>
    <w:rsid w:val="002C6832"/>
    <w:rsid w:val="002E1E4E"/>
    <w:rsid w:val="003177B8"/>
    <w:rsid w:val="003267D1"/>
    <w:rsid w:val="0034669A"/>
    <w:rsid w:val="0035459B"/>
    <w:rsid w:val="00372503"/>
    <w:rsid w:val="00374C87"/>
    <w:rsid w:val="003B3718"/>
    <w:rsid w:val="003D5916"/>
    <w:rsid w:val="003E56E2"/>
    <w:rsid w:val="0041213A"/>
    <w:rsid w:val="00445266"/>
    <w:rsid w:val="004578AD"/>
    <w:rsid w:val="0046063F"/>
    <w:rsid w:val="0046370F"/>
    <w:rsid w:val="00471AD0"/>
    <w:rsid w:val="004D0AFD"/>
    <w:rsid w:val="004D2818"/>
    <w:rsid w:val="004F4739"/>
    <w:rsid w:val="00525D42"/>
    <w:rsid w:val="0054554A"/>
    <w:rsid w:val="00560319"/>
    <w:rsid w:val="00564DCB"/>
    <w:rsid w:val="005B7A4C"/>
    <w:rsid w:val="005C337A"/>
    <w:rsid w:val="00624B51"/>
    <w:rsid w:val="00634784"/>
    <w:rsid w:val="00650420"/>
    <w:rsid w:val="00666E8E"/>
    <w:rsid w:val="00672C0C"/>
    <w:rsid w:val="00686F52"/>
    <w:rsid w:val="00687A73"/>
    <w:rsid w:val="00692DD6"/>
    <w:rsid w:val="006A4259"/>
    <w:rsid w:val="006A7FE2"/>
    <w:rsid w:val="00715A49"/>
    <w:rsid w:val="00715F18"/>
    <w:rsid w:val="007169EC"/>
    <w:rsid w:val="0074449C"/>
    <w:rsid w:val="00750376"/>
    <w:rsid w:val="00755475"/>
    <w:rsid w:val="0076731E"/>
    <w:rsid w:val="0077208E"/>
    <w:rsid w:val="00773D22"/>
    <w:rsid w:val="00783CF6"/>
    <w:rsid w:val="00792B34"/>
    <w:rsid w:val="007967C9"/>
    <w:rsid w:val="00833CDB"/>
    <w:rsid w:val="00850F53"/>
    <w:rsid w:val="00853FDB"/>
    <w:rsid w:val="00873E9E"/>
    <w:rsid w:val="00881DDF"/>
    <w:rsid w:val="008D1438"/>
    <w:rsid w:val="0092674B"/>
    <w:rsid w:val="00960B0D"/>
    <w:rsid w:val="00962409"/>
    <w:rsid w:val="009A7023"/>
    <w:rsid w:val="009B2FCC"/>
    <w:rsid w:val="009B3B75"/>
    <w:rsid w:val="009D1D76"/>
    <w:rsid w:val="00A33507"/>
    <w:rsid w:val="00A350F7"/>
    <w:rsid w:val="00A41F08"/>
    <w:rsid w:val="00A55F74"/>
    <w:rsid w:val="00A56229"/>
    <w:rsid w:val="00A63C5F"/>
    <w:rsid w:val="00A64F17"/>
    <w:rsid w:val="00A65ABB"/>
    <w:rsid w:val="00A77D51"/>
    <w:rsid w:val="00AA280B"/>
    <w:rsid w:val="00AC7D79"/>
    <w:rsid w:val="00AF1F94"/>
    <w:rsid w:val="00B04BD3"/>
    <w:rsid w:val="00B053A5"/>
    <w:rsid w:val="00B07694"/>
    <w:rsid w:val="00B34709"/>
    <w:rsid w:val="00B435EB"/>
    <w:rsid w:val="00B472FB"/>
    <w:rsid w:val="00B72980"/>
    <w:rsid w:val="00B74401"/>
    <w:rsid w:val="00B859AD"/>
    <w:rsid w:val="00B8754E"/>
    <w:rsid w:val="00BC759B"/>
    <w:rsid w:val="00C13B72"/>
    <w:rsid w:val="00C2060B"/>
    <w:rsid w:val="00C41539"/>
    <w:rsid w:val="00CD719A"/>
    <w:rsid w:val="00CF4750"/>
    <w:rsid w:val="00D018B9"/>
    <w:rsid w:val="00D47B18"/>
    <w:rsid w:val="00D51D5E"/>
    <w:rsid w:val="00D72279"/>
    <w:rsid w:val="00D77313"/>
    <w:rsid w:val="00DB3141"/>
    <w:rsid w:val="00DC6345"/>
    <w:rsid w:val="00DD0B16"/>
    <w:rsid w:val="00DD68E7"/>
    <w:rsid w:val="00DD6F1D"/>
    <w:rsid w:val="00DE2F0D"/>
    <w:rsid w:val="00E03505"/>
    <w:rsid w:val="00E04793"/>
    <w:rsid w:val="00E1134E"/>
    <w:rsid w:val="00E22CA8"/>
    <w:rsid w:val="00E404D7"/>
    <w:rsid w:val="00E76C41"/>
    <w:rsid w:val="00E83D86"/>
    <w:rsid w:val="00EA51E7"/>
    <w:rsid w:val="00EB001C"/>
    <w:rsid w:val="00EC3C37"/>
    <w:rsid w:val="00ED65A3"/>
    <w:rsid w:val="00F073E7"/>
    <w:rsid w:val="00F204BC"/>
    <w:rsid w:val="00F24909"/>
    <w:rsid w:val="00F42B7D"/>
    <w:rsid w:val="00F62C9C"/>
    <w:rsid w:val="00FB5D1D"/>
    <w:rsid w:val="00FB7F43"/>
    <w:rsid w:val="00FD3D7D"/>
    <w:rsid w:val="00FE22EB"/>
    <w:rsid w:val="00FE3918"/>
    <w:rsid w:val="00FF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48357D98-DEEA-4B7F-BC4F-0A9DBDF4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aliases w:val="Title-IAEA"/>
    <w:basedOn w:val="NormalWeb"/>
    <w:next w:val="Normal"/>
    <w:qFormat/>
    <w:rsid w:val="009D1D76"/>
    <w:pPr>
      <w:jc w:val="center"/>
      <w:outlineLvl w:val="0"/>
    </w:pPr>
    <w:rPr>
      <w:b/>
      <w:sz w:val="28"/>
      <w:szCs w:val="28"/>
      <w:lang w:val="en"/>
    </w:rPr>
  </w:style>
  <w:style w:type="paragraph" w:styleId="Heading2">
    <w:name w:val="heading 2"/>
    <w:aliases w:val="Label"/>
    <w:basedOn w:val="Normal"/>
    <w:next w:val="Normal"/>
    <w:qFormat/>
    <w:rsid w:val="00DE2F0D"/>
    <w:pPr>
      <w:keepNext/>
      <w:tabs>
        <w:tab w:val="right" w:pos="9027"/>
      </w:tabs>
      <w:spacing w:before="240"/>
      <w:jc w:val="right"/>
      <w:outlineLvl w:val="1"/>
    </w:pPr>
    <w:rPr>
      <w:bCs/>
      <w:noProof/>
      <w:sz w:val="28"/>
      <w:szCs w:val="28"/>
    </w:rPr>
  </w:style>
  <w:style w:type="paragraph" w:styleId="Heading3">
    <w:name w:val="heading 3"/>
    <w:aliases w:val="Body-IAEA"/>
    <w:basedOn w:val="Normal"/>
    <w:next w:val="Normal"/>
    <w:qFormat/>
    <w:rsid w:val="00B859AD"/>
    <w:pPr>
      <w:spacing w:before="240"/>
      <w:outlineLvl w:val="2"/>
    </w:pPr>
  </w:style>
  <w:style w:type="paragraph" w:styleId="Heading4">
    <w:name w:val="heading 4"/>
    <w:aliases w:val="HEADER-IAEA"/>
    <w:basedOn w:val="Header"/>
    <w:next w:val="Normal"/>
    <w:link w:val="Heading4Char"/>
    <w:unhideWhenUsed/>
    <w:qFormat/>
    <w:rsid w:val="0046370F"/>
    <w:pPr>
      <w:spacing w:line="276" w:lineRule="auto"/>
      <w:jc w:val="center"/>
      <w:outlineLvl w:val="3"/>
    </w:pPr>
    <w:rPr>
      <w:rFonts w:ascii="Arial" w:hAnsi="Arial"/>
      <w:b/>
      <w:color w:val="548DD4" w:themeColor="text2" w:themeTint="99"/>
      <w:sz w:val="40"/>
      <w:szCs w:val="40"/>
    </w:rPr>
  </w:style>
  <w:style w:type="paragraph" w:styleId="Heading5">
    <w:name w:val="heading 5"/>
    <w:aliases w:val="Sub-Header IAEA"/>
    <w:basedOn w:val="Header"/>
    <w:next w:val="Normal"/>
    <w:link w:val="Heading5Char"/>
    <w:unhideWhenUsed/>
    <w:qFormat/>
    <w:rsid w:val="00116A14"/>
    <w:pPr>
      <w:pBdr>
        <w:between w:val="single" w:sz="4" w:space="1" w:color="4F81BD" w:themeColor="accent1"/>
      </w:pBdr>
      <w:spacing w:line="276" w:lineRule="auto"/>
      <w:jc w:val="center"/>
      <w:outlineLvl w:val="4"/>
    </w:pPr>
    <w:rPr>
      <w:rFonts w:ascii="Arial" w:hAnsi="Arial" w:cs="Arial"/>
      <w:color w:val="7F7F7F" w:themeColor="text1" w:themeTint="80"/>
    </w:rPr>
  </w:style>
  <w:style w:type="paragraph" w:styleId="Heading6">
    <w:name w:val="heading 6"/>
    <w:aliases w:val="Footer-IAEA"/>
    <w:basedOn w:val="Header"/>
    <w:next w:val="Normal"/>
    <w:link w:val="Heading6Char"/>
    <w:unhideWhenUsed/>
    <w:qFormat/>
    <w:rsid w:val="004D2818"/>
    <w:pPr>
      <w:pBdr>
        <w:between w:val="single" w:sz="4" w:space="1" w:color="4F81BD" w:themeColor="accent1"/>
      </w:pBdr>
      <w:spacing w:before="480" w:line="276" w:lineRule="auto"/>
      <w:jc w:val="center"/>
      <w:outlineLvl w:val="5"/>
    </w:pPr>
    <w:rPr>
      <w:rFonts w:ascii="Arial" w:eastAsiaTheme="minorEastAsia" w:hAnsi="Arial" w:cs="Arial"/>
      <w:b/>
      <w:bCs/>
      <w:color w:val="808080" w:themeColor="background1" w:themeShade="80"/>
      <w:sz w:val="20"/>
      <w:szCs w:val="20"/>
      <w:lang w:val="e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PRBodyText">
    <w:name w:val="PR_BodyText"/>
    <w:basedOn w:val="BodyText"/>
    <w:pPr>
      <w:widowControl w:val="0"/>
      <w:overflowPunct w:val="0"/>
      <w:autoSpaceDE w:val="0"/>
      <w:autoSpaceDN w:val="0"/>
      <w:adjustRightInd w:val="0"/>
      <w:spacing w:after="240"/>
      <w:jc w:val="both"/>
      <w:textAlignment w:val="baseline"/>
    </w:pPr>
    <w:rPr>
      <w:szCs w:val="20"/>
      <w:lang w:val="en-GB"/>
    </w:rPr>
  </w:style>
  <w:style w:type="paragraph" w:customStyle="1" w:styleId="PRHeader">
    <w:name w:val="PR_Header"/>
    <w:basedOn w:val="Normal"/>
    <w:next w:val="PRBodyText"/>
    <w:pPr>
      <w:overflowPunct w:val="0"/>
      <w:autoSpaceDE w:val="0"/>
      <w:autoSpaceDN w:val="0"/>
      <w:adjustRightInd w:val="0"/>
      <w:jc w:val="center"/>
      <w:textAlignment w:val="baseline"/>
    </w:pPr>
    <w:rPr>
      <w:rFonts w:ascii="Helvetica" w:hAnsi="Helvetica"/>
      <w:b/>
      <w:szCs w:val="20"/>
    </w:rPr>
  </w:style>
  <w:style w:type="paragraph" w:styleId="BodyText">
    <w:name w:val="Body Text"/>
    <w:basedOn w:val="Normal"/>
    <w:link w:val="BodyTextChar"/>
    <w:uiPriority w:val="99"/>
    <w:pPr>
      <w:spacing w:after="120"/>
    </w:pPr>
  </w:style>
  <w:style w:type="paragraph" w:styleId="Header">
    <w:name w:val="header"/>
    <w:basedOn w:val="Normal"/>
    <w:link w:val="HeaderChar"/>
    <w:uiPriority w:val="99"/>
    <w:rsid w:val="002E1E4E"/>
    <w:pPr>
      <w:tabs>
        <w:tab w:val="center" w:pos="4153"/>
        <w:tab w:val="right" w:pos="8306"/>
      </w:tabs>
    </w:pPr>
  </w:style>
  <w:style w:type="paragraph" w:styleId="Footer">
    <w:name w:val="footer"/>
    <w:basedOn w:val="Normal"/>
    <w:link w:val="FooterChar"/>
    <w:uiPriority w:val="99"/>
    <w:rsid w:val="002E1E4E"/>
    <w:pPr>
      <w:tabs>
        <w:tab w:val="center" w:pos="4153"/>
        <w:tab w:val="right" w:pos="8306"/>
      </w:tabs>
    </w:pPr>
  </w:style>
  <w:style w:type="character" w:styleId="Strong">
    <w:name w:val="Strong"/>
    <w:uiPriority w:val="22"/>
    <w:qFormat/>
    <w:rsid w:val="002E1E4E"/>
    <w:rPr>
      <w:b/>
      <w:bCs/>
    </w:rPr>
  </w:style>
  <w:style w:type="paragraph" w:styleId="NormalWeb">
    <w:name w:val="Normal (Web)"/>
    <w:aliases w:val=" webb"/>
    <w:basedOn w:val="Normal"/>
    <w:uiPriority w:val="99"/>
    <w:rsid w:val="00A56229"/>
    <w:pPr>
      <w:spacing w:before="100" w:beforeAutospacing="1" w:after="100" w:afterAutospacing="1"/>
    </w:pPr>
    <w:rPr>
      <w:lang w:val="en-GB" w:eastAsia="en-GB"/>
    </w:rPr>
  </w:style>
  <w:style w:type="paragraph" w:customStyle="1" w:styleId="zyxDistribution">
    <w:name w:val="zyxDistribution"/>
    <w:basedOn w:val="Normal"/>
    <w:rsid w:val="00A65ABB"/>
    <w:pPr>
      <w:framePr w:wrap="around" w:vAnchor="page" w:hAnchor="page" w:x="1390" w:y="15707"/>
      <w:widowControl w:val="0"/>
      <w:spacing w:before="240" w:after="20"/>
      <w:ind w:left="142"/>
      <w:suppressOverlap/>
    </w:pPr>
    <w:rPr>
      <w:rFonts w:ascii="Arial" w:eastAsia="Batang" w:hAnsi="Arial"/>
      <w:b/>
      <w:sz w:val="22"/>
      <w:szCs w:val="20"/>
      <w:lang w:val="en-GB"/>
    </w:rPr>
  </w:style>
  <w:style w:type="character" w:styleId="Emphasis">
    <w:name w:val="Emphasis"/>
    <w:uiPriority w:val="20"/>
    <w:qFormat/>
    <w:rsid w:val="00A65ABB"/>
    <w:rPr>
      <w:i/>
      <w:iCs/>
    </w:rPr>
  </w:style>
  <w:style w:type="character" w:styleId="CommentReference">
    <w:name w:val="annotation reference"/>
    <w:basedOn w:val="DefaultParagraphFont"/>
    <w:rsid w:val="00873E9E"/>
    <w:rPr>
      <w:sz w:val="16"/>
      <w:szCs w:val="16"/>
    </w:rPr>
  </w:style>
  <w:style w:type="paragraph" w:styleId="CommentText">
    <w:name w:val="annotation text"/>
    <w:basedOn w:val="Normal"/>
    <w:link w:val="CommentTextChar"/>
    <w:rsid w:val="00873E9E"/>
    <w:rPr>
      <w:sz w:val="20"/>
      <w:szCs w:val="20"/>
    </w:rPr>
  </w:style>
  <w:style w:type="character" w:customStyle="1" w:styleId="CommentTextChar">
    <w:name w:val="Comment Text Char"/>
    <w:basedOn w:val="DefaultParagraphFont"/>
    <w:link w:val="CommentText"/>
    <w:rsid w:val="00873E9E"/>
    <w:rPr>
      <w:lang w:val="en-US" w:eastAsia="en-US"/>
    </w:rPr>
  </w:style>
  <w:style w:type="paragraph" w:styleId="CommentSubject">
    <w:name w:val="annotation subject"/>
    <w:basedOn w:val="CommentText"/>
    <w:next w:val="CommentText"/>
    <w:link w:val="CommentSubjectChar"/>
    <w:rsid w:val="00873E9E"/>
    <w:rPr>
      <w:b/>
      <w:bCs/>
    </w:rPr>
  </w:style>
  <w:style w:type="character" w:customStyle="1" w:styleId="CommentSubjectChar">
    <w:name w:val="Comment Subject Char"/>
    <w:basedOn w:val="CommentTextChar"/>
    <w:link w:val="CommentSubject"/>
    <w:rsid w:val="00873E9E"/>
    <w:rPr>
      <w:b/>
      <w:bCs/>
      <w:lang w:val="en-US" w:eastAsia="en-US"/>
    </w:rPr>
  </w:style>
  <w:style w:type="paragraph" w:styleId="BalloonText">
    <w:name w:val="Balloon Text"/>
    <w:basedOn w:val="Normal"/>
    <w:link w:val="BalloonTextChar"/>
    <w:rsid w:val="00873E9E"/>
    <w:rPr>
      <w:rFonts w:ascii="Tahoma" w:hAnsi="Tahoma" w:cs="Tahoma"/>
      <w:sz w:val="16"/>
      <w:szCs w:val="16"/>
    </w:rPr>
  </w:style>
  <w:style w:type="character" w:customStyle="1" w:styleId="BalloonTextChar">
    <w:name w:val="Balloon Text Char"/>
    <w:basedOn w:val="DefaultParagraphFont"/>
    <w:link w:val="BalloonText"/>
    <w:rsid w:val="00873E9E"/>
    <w:rPr>
      <w:rFonts w:ascii="Tahoma" w:hAnsi="Tahoma" w:cs="Tahoma"/>
      <w:sz w:val="16"/>
      <w:szCs w:val="16"/>
      <w:lang w:val="en-US" w:eastAsia="en-US"/>
    </w:rPr>
  </w:style>
  <w:style w:type="paragraph" w:styleId="IntenseQuote">
    <w:name w:val="Intense Quote"/>
    <w:basedOn w:val="Normal"/>
    <w:next w:val="Normal"/>
    <w:link w:val="IntenseQuoteChar"/>
    <w:uiPriority w:val="30"/>
    <w:qFormat/>
    <w:rsid w:val="00FE391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3918"/>
    <w:rPr>
      <w:b/>
      <w:bCs/>
      <w:i/>
      <w:iCs/>
      <w:color w:val="4F81BD" w:themeColor="accent1"/>
      <w:sz w:val="24"/>
      <w:szCs w:val="24"/>
      <w:lang w:val="en-US" w:eastAsia="en-US"/>
    </w:rPr>
  </w:style>
  <w:style w:type="paragraph" w:styleId="Title">
    <w:name w:val="Title"/>
    <w:basedOn w:val="Normal"/>
    <w:next w:val="Normal"/>
    <w:link w:val="TitleChar"/>
    <w:qFormat/>
    <w:rsid w:val="00FE39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E3918"/>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qFormat/>
    <w:rsid w:val="00FE391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E3918"/>
    <w:rPr>
      <w:rFonts w:asciiTheme="majorHAnsi" w:eastAsiaTheme="majorEastAsia" w:hAnsiTheme="majorHAnsi" w:cstheme="majorBidi"/>
      <w:i/>
      <w:iCs/>
      <w:color w:val="4F81BD" w:themeColor="accent1"/>
      <w:spacing w:val="15"/>
      <w:sz w:val="24"/>
      <w:szCs w:val="24"/>
      <w:lang w:val="en-US" w:eastAsia="en-US"/>
    </w:rPr>
  </w:style>
  <w:style w:type="character" w:customStyle="1" w:styleId="HeaderChar">
    <w:name w:val="Header Char"/>
    <w:basedOn w:val="DefaultParagraphFont"/>
    <w:link w:val="Header"/>
    <w:uiPriority w:val="99"/>
    <w:rsid w:val="00FE3918"/>
    <w:rPr>
      <w:sz w:val="24"/>
      <w:szCs w:val="24"/>
      <w:lang w:val="en-US" w:eastAsia="en-US"/>
    </w:rPr>
  </w:style>
  <w:style w:type="paragraph" w:styleId="NoSpacing">
    <w:name w:val="No Spacing"/>
    <w:link w:val="NoSpacingChar"/>
    <w:qFormat/>
    <w:rsid w:val="00FE3918"/>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FE3918"/>
    <w:rPr>
      <w:rFonts w:ascii="PMingLiU" w:eastAsiaTheme="minorEastAsia" w:hAnsi="PMingLiU" w:cstheme="minorBidi"/>
      <w:sz w:val="22"/>
      <w:szCs w:val="22"/>
      <w:lang w:val="en-US" w:eastAsia="en-US"/>
    </w:rPr>
  </w:style>
  <w:style w:type="table" w:styleId="LightShading-Accent1">
    <w:name w:val="Light Shading Accent 1"/>
    <w:basedOn w:val="TableNormal"/>
    <w:uiPriority w:val="60"/>
    <w:rsid w:val="00FE3918"/>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rsid w:val="00FE3918"/>
  </w:style>
  <w:style w:type="character" w:customStyle="1" w:styleId="FootnoteTextChar">
    <w:name w:val="Footnote Text Char"/>
    <w:basedOn w:val="DefaultParagraphFont"/>
    <w:link w:val="FootnoteText"/>
    <w:rsid w:val="00FE3918"/>
    <w:rPr>
      <w:sz w:val="24"/>
      <w:szCs w:val="24"/>
      <w:lang w:val="en-US" w:eastAsia="en-US"/>
    </w:rPr>
  </w:style>
  <w:style w:type="character" w:styleId="FootnoteReference">
    <w:name w:val="footnote reference"/>
    <w:basedOn w:val="DefaultParagraphFont"/>
    <w:rsid w:val="00FE3918"/>
    <w:rPr>
      <w:vertAlign w:val="superscript"/>
    </w:rPr>
  </w:style>
  <w:style w:type="character" w:customStyle="1" w:styleId="FooterChar">
    <w:name w:val="Footer Char"/>
    <w:basedOn w:val="DefaultParagraphFont"/>
    <w:link w:val="Footer"/>
    <w:uiPriority w:val="99"/>
    <w:rsid w:val="00FE3918"/>
    <w:rPr>
      <w:sz w:val="24"/>
      <w:szCs w:val="24"/>
      <w:lang w:val="en-US" w:eastAsia="en-US"/>
    </w:rPr>
  </w:style>
  <w:style w:type="paragraph" w:styleId="TOCHeading">
    <w:name w:val="TOC Heading"/>
    <w:basedOn w:val="Heading1"/>
    <w:next w:val="Normal"/>
    <w:uiPriority w:val="39"/>
    <w:unhideWhenUsed/>
    <w:rsid w:val="00FE3918"/>
    <w:pPr>
      <w:keepLines/>
      <w:spacing w:before="480" w:line="276" w:lineRule="auto"/>
      <w:jc w:val="left"/>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rsid w:val="00FE3918"/>
    <w:pPr>
      <w:spacing w:before="240" w:after="120"/>
    </w:pPr>
    <w:rPr>
      <w:rFonts w:asciiTheme="minorHAnsi" w:hAnsiTheme="minorHAnsi"/>
      <w:b/>
      <w:caps/>
      <w:sz w:val="22"/>
      <w:szCs w:val="22"/>
      <w:u w:val="single"/>
    </w:rPr>
  </w:style>
  <w:style w:type="paragraph" w:styleId="TOC2">
    <w:name w:val="toc 2"/>
    <w:basedOn w:val="Normal"/>
    <w:next w:val="Normal"/>
    <w:autoRedefine/>
    <w:rsid w:val="00FE3918"/>
    <w:rPr>
      <w:rFonts w:asciiTheme="minorHAnsi" w:hAnsiTheme="minorHAnsi"/>
      <w:b/>
      <w:smallCaps/>
      <w:sz w:val="22"/>
      <w:szCs w:val="22"/>
    </w:rPr>
  </w:style>
  <w:style w:type="paragraph" w:styleId="TOC3">
    <w:name w:val="toc 3"/>
    <w:basedOn w:val="Normal"/>
    <w:next w:val="Normal"/>
    <w:autoRedefine/>
    <w:rsid w:val="00FE3918"/>
    <w:rPr>
      <w:rFonts w:asciiTheme="minorHAnsi" w:hAnsiTheme="minorHAnsi"/>
      <w:smallCaps/>
      <w:sz w:val="22"/>
      <w:szCs w:val="22"/>
    </w:rPr>
  </w:style>
  <w:style w:type="paragraph" w:styleId="TOC4">
    <w:name w:val="toc 4"/>
    <w:basedOn w:val="Normal"/>
    <w:next w:val="Normal"/>
    <w:autoRedefine/>
    <w:rsid w:val="00FE3918"/>
    <w:rPr>
      <w:rFonts w:asciiTheme="minorHAnsi" w:hAnsiTheme="minorHAnsi"/>
      <w:sz w:val="22"/>
      <w:szCs w:val="22"/>
    </w:rPr>
  </w:style>
  <w:style w:type="paragraph" w:styleId="TOC5">
    <w:name w:val="toc 5"/>
    <w:basedOn w:val="Normal"/>
    <w:next w:val="Normal"/>
    <w:autoRedefine/>
    <w:rsid w:val="00FE3918"/>
    <w:rPr>
      <w:rFonts w:asciiTheme="minorHAnsi" w:hAnsiTheme="minorHAnsi"/>
      <w:sz w:val="22"/>
      <w:szCs w:val="22"/>
    </w:rPr>
  </w:style>
  <w:style w:type="paragraph" w:styleId="TOC6">
    <w:name w:val="toc 6"/>
    <w:basedOn w:val="Normal"/>
    <w:next w:val="Normal"/>
    <w:autoRedefine/>
    <w:rsid w:val="00FE3918"/>
    <w:rPr>
      <w:rFonts w:asciiTheme="minorHAnsi" w:hAnsiTheme="minorHAnsi"/>
      <w:sz w:val="22"/>
      <w:szCs w:val="22"/>
    </w:rPr>
  </w:style>
  <w:style w:type="paragraph" w:styleId="TOC7">
    <w:name w:val="toc 7"/>
    <w:basedOn w:val="Normal"/>
    <w:next w:val="Normal"/>
    <w:autoRedefine/>
    <w:rsid w:val="00FE3918"/>
    <w:rPr>
      <w:rFonts w:asciiTheme="minorHAnsi" w:hAnsiTheme="minorHAnsi"/>
      <w:sz w:val="22"/>
      <w:szCs w:val="22"/>
    </w:rPr>
  </w:style>
  <w:style w:type="paragraph" w:styleId="TOC8">
    <w:name w:val="toc 8"/>
    <w:basedOn w:val="Normal"/>
    <w:next w:val="Normal"/>
    <w:autoRedefine/>
    <w:rsid w:val="00FE3918"/>
    <w:rPr>
      <w:rFonts w:asciiTheme="minorHAnsi" w:hAnsiTheme="minorHAnsi"/>
      <w:sz w:val="22"/>
      <w:szCs w:val="22"/>
    </w:rPr>
  </w:style>
  <w:style w:type="paragraph" w:styleId="TOC9">
    <w:name w:val="toc 9"/>
    <w:basedOn w:val="Normal"/>
    <w:next w:val="Normal"/>
    <w:autoRedefine/>
    <w:rsid w:val="00FE3918"/>
    <w:rPr>
      <w:rFonts w:asciiTheme="minorHAnsi" w:hAnsiTheme="minorHAnsi"/>
      <w:sz w:val="22"/>
      <w:szCs w:val="22"/>
    </w:rPr>
  </w:style>
  <w:style w:type="character" w:customStyle="1" w:styleId="Heading4Char">
    <w:name w:val="Heading 4 Char"/>
    <w:aliases w:val="HEADER-IAEA Char"/>
    <w:basedOn w:val="DefaultParagraphFont"/>
    <w:link w:val="Heading4"/>
    <w:rsid w:val="0046370F"/>
    <w:rPr>
      <w:rFonts w:ascii="Arial" w:hAnsi="Arial"/>
      <w:b/>
      <w:color w:val="548DD4" w:themeColor="text2" w:themeTint="99"/>
      <w:sz w:val="40"/>
      <w:szCs w:val="40"/>
      <w:lang w:val="en-US" w:eastAsia="en-US"/>
    </w:rPr>
  </w:style>
  <w:style w:type="paragraph" w:styleId="Quote">
    <w:name w:val="Quote"/>
    <w:basedOn w:val="Normal"/>
    <w:next w:val="Normal"/>
    <w:link w:val="QuoteChar"/>
    <w:uiPriority w:val="29"/>
    <w:qFormat/>
    <w:rsid w:val="003D5916"/>
    <w:rPr>
      <w:i/>
      <w:iCs/>
      <w:color w:val="000000" w:themeColor="text1"/>
    </w:rPr>
  </w:style>
  <w:style w:type="character" w:customStyle="1" w:styleId="QuoteChar">
    <w:name w:val="Quote Char"/>
    <w:basedOn w:val="DefaultParagraphFont"/>
    <w:link w:val="Quote"/>
    <w:uiPriority w:val="29"/>
    <w:rsid w:val="003D5916"/>
    <w:rPr>
      <w:i/>
      <w:iCs/>
      <w:color w:val="000000" w:themeColor="text1"/>
      <w:sz w:val="24"/>
      <w:szCs w:val="24"/>
      <w:lang w:val="en-US" w:eastAsia="en-US"/>
    </w:rPr>
  </w:style>
  <w:style w:type="character" w:styleId="IntenseReference">
    <w:name w:val="Intense Reference"/>
    <w:basedOn w:val="DefaultParagraphFont"/>
    <w:uiPriority w:val="32"/>
    <w:qFormat/>
    <w:rsid w:val="003D5916"/>
    <w:rPr>
      <w:b/>
      <w:bCs/>
      <w:smallCaps/>
      <w:color w:val="C0504D" w:themeColor="accent2"/>
      <w:spacing w:val="5"/>
      <w:u w:val="single"/>
    </w:rPr>
  </w:style>
  <w:style w:type="paragraph" w:styleId="ListParagraph">
    <w:name w:val="List Paragraph"/>
    <w:aliases w:val="List-IAEA"/>
    <w:basedOn w:val="Heading3"/>
    <w:uiPriority w:val="34"/>
    <w:qFormat/>
    <w:rsid w:val="007169EC"/>
    <w:pPr>
      <w:numPr>
        <w:numId w:val="8"/>
      </w:numPr>
    </w:pPr>
  </w:style>
  <w:style w:type="table" w:styleId="TableGrid">
    <w:name w:val="Table Grid"/>
    <w:basedOn w:val="TableNormal"/>
    <w:uiPriority w:val="1"/>
    <w:rsid w:val="009B2FCC"/>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9B2FCC"/>
    <w:rPr>
      <w:color w:val="800080" w:themeColor="followedHyperlink"/>
      <w:u w:val="single"/>
    </w:rPr>
  </w:style>
  <w:style w:type="character" w:styleId="PageNumber">
    <w:name w:val="page number"/>
    <w:basedOn w:val="DefaultParagraphFont"/>
    <w:rsid w:val="00050C5A"/>
  </w:style>
  <w:style w:type="character" w:customStyle="1" w:styleId="Heading5Char">
    <w:name w:val="Heading 5 Char"/>
    <w:aliases w:val="Sub-Header IAEA Char"/>
    <w:basedOn w:val="DefaultParagraphFont"/>
    <w:link w:val="Heading5"/>
    <w:rsid w:val="00116A14"/>
    <w:rPr>
      <w:rFonts w:ascii="Arial" w:hAnsi="Arial" w:cs="Arial"/>
      <w:color w:val="7F7F7F" w:themeColor="text1" w:themeTint="80"/>
      <w:sz w:val="24"/>
      <w:szCs w:val="24"/>
      <w:lang w:val="en-US" w:eastAsia="en-US"/>
    </w:rPr>
  </w:style>
  <w:style w:type="character" w:customStyle="1" w:styleId="Heading6Char">
    <w:name w:val="Heading 6 Char"/>
    <w:aliases w:val="Footer-IAEA Char"/>
    <w:basedOn w:val="DefaultParagraphFont"/>
    <w:link w:val="Heading6"/>
    <w:rsid w:val="004D2818"/>
    <w:rPr>
      <w:rFonts w:ascii="Arial" w:eastAsiaTheme="minorEastAsia" w:hAnsi="Arial" w:cs="Arial"/>
      <w:b/>
      <w:bCs/>
      <w:color w:val="808080" w:themeColor="background1" w:themeShade="80"/>
      <w:lang w:val="en" w:eastAsia="ja-JP"/>
    </w:rPr>
  </w:style>
  <w:style w:type="character" w:customStyle="1" w:styleId="BodyTextChar">
    <w:name w:val="Body Text Char"/>
    <w:basedOn w:val="DefaultParagraphFont"/>
    <w:link w:val="BodyText"/>
    <w:uiPriority w:val="99"/>
    <w:locked/>
    <w:rsid w:val="00750376"/>
    <w:rPr>
      <w:sz w:val="24"/>
      <w:szCs w:val="24"/>
      <w:lang w:val="en-US" w:eastAsia="en-US"/>
    </w:rPr>
  </w:style>
  <w:style w:type="paragraph" w:customStyle="1" w:styleId="Textecourant">
    <w:name w:val="Texte courant"/>
    <w:basedOn w:val="Normal"/>
    <w:link w:val="TextecourantCar"/>
    <w:qFormat/>
    <w:rsid w:val="00445266"/>
    <w:pPr>
      <w:spacing w:line="280" w:lineRule="atLeast"/>
      <w:jc w:val="both"/>
    </w:pPr>
    <w:rPr>
      <w:rFonts w:ascii="Arial" w:eastAsia="Arial" w:hAnsi="Arial"/>
      <w:sz w:val="20"/>
      <w:szCs w:val="22"/>
      <w:lang w:val="fr-FR"/>
    </w:rPr>
  </w:style>
  <w:style w:type="character" w:customStyle="1" w:styleId="TextecourantCar">
    <w:name w:val="Texte courant Car"/>
    <w:basedOn w:val="DefaultParagraphFont"/>
    <w:link w:val="Textecourant"/>
    <w:rsid w:val="00445266"/>
    <w:rPr>
      <w:rFonts w:ascii="Arial" w:eastAsia="Arial" w:hAnsi="Arial"/>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078151">
      <w:bodyDiv w:val="1"/>
      <w:marLeft w:val="0"/>
      <w:marRight w:val="0"/>
      <w:marTop w:val="0"/>
      <w:marBottom w:val="0"/>
      <w:divBdr>
        <w:top w:val="none" w:sz="0" w:space="0" w:color="auto"/>
        <w:left w:val="none" w:sz="0" w:space="0" w:color="auto"/>
        <w:bottom w:val="none" w:sz="0" w:space="0" w:color="auto"/>
        <w:right w:val="none" w:sz="0" w:space="0" w:color="auto"/>
      </w:divBdr>
    </w:div>
    <w:div w:id="1447191185">
      <w:bodyDiv w:val="1"/>
      <w:marLeft w:val="0"/>
      <w:marRight w:val="0"/>
      <w:marTop w:val="0"/>
      <w:marBottom w:val="0"/>
      <w:divBdr>
        <w:top w:val="none" w:sz="0" w:space="0" w:color="auto"/>
        <w:left w:val="none" w:sz="0" w:space="0" w:color="auto"/>
        <w:bottom w:val="none" w:sz="0" w:space="0" w:color="auto"/>
        <w:right w:val="none" w:sz="0" w:space="0" w:color="auto"/>
      </w:divBdr>
      <w:divsChild>
        <w:div w:id="1161892417">
          <w:marLeft w:val="0"/>
          <w:marRight w:val="0"/>
          <w:marTop w:val="0"/>
          <w:marBottom w:val="0"/>
          <w:divBdr>
            <w:top w:val="none" w:sz="0" w:space="0" w:color="auto"/>
            <w:left w:val="none" w:sz="0" w:space="0" w:color="auto"/>
            <w:bottom w:val="none" w:sz="0" w:space="0" w:color="auto"/>
            <w:right w:val="none" w:sz="0" w:space="0" w:color="auto"/>
          </w:divBdr>
          <w:divsChild>
            <w:div w:id="314457598">
              <w:marLeft w:val="0"/>
              <w:marRight w:val="0"/>
              <w:marTop w:val="0"/>
              <w:marBottom w:val="0"/>
              <w:divBdr>
                <w:top w:val="none" w:sz="0" w:space="0" w:color="auto"/>
                <w:left w:val="none" w:sz="0" w:space="0" w:color="auto"/>
                <w:bottom w:val="none" w:sz="0" w:space="0" w:color="auto"/>
                <w:right w:val="none" w:sz="0" w:space="0" w:color="auto"/>
              </w:divBdr>
              <w:divsChild>
                <w:div w:id="1850674324">
                  <w:marLeft w:val="0"/>
                  <w:marRight w:val="0"/>
                  <w:marTop w:val="0"/>
                  <w:marBottom w:val="0"/>
                  <w:divBdr>
                    <w:top w:val="none" w:sz="0" w:space="0" w:color="auto"/>
                    <w:left w:val="none" w:sz="0" w:space="0" w:color="auto"/>
                    <w:bottom w:val="none" w:sz="0" w:space="0" w:color="auto"/>
                    <w:right w:val="none" w:sz="0" w:space="0" w:color="auto"/>
                  </w:divBdr>
                  <w:divsChild>
                    <w:div w:id="1600062187">
                      <w:marLeft w:val="0"/>
                      <w:marRight w:val="0"/>
                      <w:marTop w:val="0"/>
                      <w:marBottom w:val="0"/>
                      <w:divBdr>
                        <w:top w:val="none" w:sz="0" w:space="0" w:color="auto"/>
                        <w:left w:val="none" w:sz="0" w:space="0" w:color="auto"/>
                        <w:bottom w:val="none" w:sz="0" w:space="0" w:color="auto"/>
                        <w:right w:val="none" w:sz="0" w:space="0" w:color="auto"/>
                      </w:divBdr>
                      <w:divsChild>
                        <w:div w:id="2579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631774">
      <w:bodyDiv w:val="1"/>
      <w:marLeft w:val="0"/>
      <w:marRight w:val="0"/>
      <w:marTop w:val="0"/>
      <w:marBottom w:val="0"/>
      <w:divBdr>
        <w:top w:val="none" w:sz="0" w:space="0" w:color="auto"/>
        <w:left w:val="none" w:sz="0" w:space="0" w:color="auto"/>
        <w:bottom w:val="none" w:sz="0" w:space="0" w:color="auto"/>
        <w:right w:val="none" w:sz="0" w:space="0" w:color="auto"/>
      </w:divBdr>
    </w:div>
    <w:div w:id="1606959105">
      <w:bodyDiv w:val="1"/>
      <w:marLeft w:val="0"/>
      <w:marRight w:val="0"/>
      <w:marTop w:val="0"/>
      <w:marBottom w:val="0"/>
      <w:divBdr>
        <w:top w:val="none" w:sz="0" w:space="0" w:color="auto"/>
        <w:left w:val="none" w:sz="0" w:space="0" w:color="auto"/>
        <w:bottom w:val="none" w:sz="0" w:space="0" w:color="auto"/>
        <w:right w:val="none" w:sz="0" w:space="0" w:color="auto"/>
      </w:divBdr>
    </w:div>
    <w:div w:id="1909726876">
      <w:bodyDiv w:val="1"/>
      <w:marLeft w:val="0"/>
      <w:marRight w:val="0"/>
      <w:marTop w:val="0"/>
      <w:marBottom w:val="0"/>
      <w:divBdr>
        <w:top w:val="none" w:sz="0" w:space="0" w:color="auto"/>
        <w:left w:val="none" w:sz="0" w:space="0" w:color="auto"/>
        <w:bottom w:val="none" w:sz="0" w:space="0" w:color="auto"/>
        <w:right w:val="none" w:sz="0" w:space="0" w:color="auto"/>
      </w:divBdr>
    </w:div>
    <w:div w:id="2127039942">
      <w:bodyDiv w:val="1"/>
      <w:marLeft w:val="0"/>
      <w:marRight w:val="0"/>
      <w:marTop w:val="0"/>
      <w:marBottom w:val="0"/>
      <w:divBdr>
        <w:top w:val="none" w:sz="0" w:space="0" w:color="auto"/>
        <w:left w:val="none" w:sz="0" w:space="0" w:color="auto"/>
        <w:bottom w:val="none" w:sz="0" w:space="0" w:color="auto"/>
        <w:right w:val="none" w:sz="0" w:space="0" w:color="auto"/>
      </w:divBdr>
      <w:divsChild>
        <w:div w:id="67660062">
          <w:marLeft w:val="0"/>
          <w:marRight w:val="0"/>
          <w:marTop w:val="0"/>
          <w:marBottom w:val="0"/>
          <w:divBdr>
            <w:top w:val="none" w:sz="0" w:space="0" w:color="auto"/>
            <w:left w:val="none" w:sz="0" w:space="0" w:color="auto"/>
            <w:bottom w:val="none" w:sz="0" w:space="0" w:color="auto"/>
            <w:right w:val="none" w:sz="0" w:space="0" w:color="auto"/>
          </w:divBdr>
        </w:div>
        <w:div w:id="227422148">
          <w:marLeft w:val="0"/>
          <w:marRight w:val="0"/>
          <w:marTop w:val="0"/>
          <w:marBottom w:val="0"/>
          <w:divBdr>
            <w:top w:val="none" w:sz="0" w:space="0" w:color="auto"/>
            <w:left w:val="none" w:sz="0" w:space="0" w:color="auto"/>
            <w:bottom w:val="none" w:sz="0" w:space="0" w:color="auto"/>
            <w:right w:val="none" w:sz="0" w:space="0" w:color="auto"/>
          </w:divBdr>
        </w:div>
        <w:div w:id="486479008">
          <w:marLeft w:val="0"/>
          <w:marRight w:val="0"/>
          <w:marTop w:val="0"/>
          <w:marBottom w:val="0"/>
          <w:divBdr>
            <w:top w:val="none" w:sz="0" w:space="0" w:color="auto"/>
            <w:left w:val="none" w:sz="0" w:space="0" w:color="auto"/>
            <w:bottom w:val="none" w:sz="0" w:space="0" w:color="auto"/>
            <w:right w:val="none" w:sz="0" w:space="0" w:color="auto"/>
          </w:divBdr>
        </w:div>
        <w:div w:id="549416467">
          <w:marLeft w:val="0"/>
          <w:marRight w:val="0"/>
          <w:marTop w:val="0"/>
          <w:marBottom w:val="0"/>
          <w:divBdr>
            <w:top w:val="none" w:sz="0" w:space="0" w:color="auto"/>
            <w:left w:val="none" w:sz="0" w:space="0" w:color="auto"/>
            <w:bottom w:val="none" w:sz="0" w:space="0" w:color="auto"/>
            <w:right w:val="none" w:sz="0" w:space="0" w:color="auto"/>
          </w:divBdr>
        </w:div>
        <w:div w:id="818769899">
          <w:marLeft w:val="0"/>
          <w:marRight w:val="0"/>
          <w:marTop w:val="0"/>
          <w:marBottom w:val="0"/>
          <w:divBdr>
            <w:top w:val="none" w:sz="0" w:space="0" w:color="auto"/>
            <w:left w:val="none" w:sz="0" w:space="0" w:color="auto"/>
            <w:bottom w:val="none" w:sz="0" w:space="0" w:color="auto"/>
            <w:right w:val="none" w:sz="0" w:space="0" w:color="auto"/>
          </w:divBdr>
          <w:divsChild>
            <w:div w:id="399794130">
              <w:marLeft w:val="0"/>
              <w:marRight w:val="0"/>
              <w:marTop w:val="0"/>
              <w:marBottom w:val="0"/>
              <w:divBdr>
                <w:top w:val="none" w:sz="0" w:space="0" w:color="auto"/>
                <w:left w:val="none" w:sz="0" w:space="0" w:color="auto"/>
                <w:bottom w:val="none" w:sz="0" w:space="0" w:color="auto"/>
                <w:right w:val="none" w:sz="0" w:space="0" w:color="auto"/>
              </w:divBdr>
            </w:div>
          </w:divsChild>
        </w:div>
        <w:div w:id="881598244">
          <w:marLeft w:val="0"/>
          <w:marRight w:val="0"/>
          <w:marTop w:val="0"/>
          <w:marBottom w:val="0"/>
          <w:divBdr>
            <w:top w:val="none" w:sz="0" w:space="0" w:color="auto"/>
            <w:left w:val="none" w:sz="0" w:space="0" w:color="auto"/>
            <w:bottom w:val="none" w:sz="0" w:space="0" w:color="auto"/>
            <w:right w:val="none" w:sz="0" w:space="0" w:color="auto"/>
          </w:divBdr>
        </w:div>
        <w:div w:id="932324978">
          <w:marLeft w:val="0"/>
          <w:marRight w:val="0"/>
          <w:marTop w:val="0"/>
          <w:marBottom w:val="0"/>
          <w:divBdr>
            <w:top w:val="none" w:sz="0" w:space="0" w:color="auto"/>
            <w:left w:val="none" w:sz="0" w:space="0" w:color="auto"/>
            <w:bottom w:val="none" w:sz="0" w:space="0" w:color="auto"/>
            <w:right w:val="none" w:sz="0" w:space="0" w:color="auto"/>
          </w:divBdr>
        </w:div>
        <w:div w:id="935290037">
          <w:marLeft w:val="0"/>
          <w:marRight w:val="0"/>
          <w:marTop w:val="0"/>
          <w:marBottom w:val="0"/>
          <w:divBdr>
            <w:top w:val="none" w:sz="0" w:space="0" w:color="auto"/>
            <w:left w:val="none" w:sz="0" w:space="0" w:color="auto"/>
            <w:bottom w:val="none" w:sz="0" w:space="0" w:color="auto"/>
            <w:right w:val="none" w:sz="0" w:space="0" w:color="auto"/>
          </w:divBdr>
        </w:div>
        <w:div w:id="1072628187">
          <w:marLeft w:val="0"/>
          <w:marRight w:val="0"/>
          <w:marTop w:val="0"/>
          <w:marBottom w:val="0"/>
          <w:divBdr>
            <w:top w:val="none" w:sz="0" w:space="0" w:color="auto"/>
            <w:left w:val="none" w:sz="0" w:space="0" w:color="auto"/>
            <w:bottom w:val="none" w:sz="0" w:space="0" w:color="auto"/>
            <w:right w:val="none" w:sz="0" w:space="0" w:color="auto"/>
          </w:divBdr>
        </w:div>
        <w:div w:id="1129132067">
          <w:marLeft w:val="0"/>
          <w:marRight w:val="0"/>
          <w:marTop w:val="0"/>
          <w:marBottom w:val="0"/>
          <w:divBdr>
            <w:top w:val="none" w:sz="0" w:space="0" w:color="auto"/>
            <w:left w:val="none" w:sz="0" w:space="0" w:color="auto"/>
            <w:bottom w:val="none" w:sz="0" w:space="0" w:color="auto"/>
            <w:right w:val="none" w:sz="0" w:space="0" w:color="auto"/>
          </w:divBdr>
        </w:div>
        <w:div w:id="1365903338">
          <w:marLeft w:val="0"/>
          <w:marRight w:val="0"/>
          <w:marTop w:val="0"/>
          <w:marBottom w:val="0"/>
          <w:divBdr>
            <w:top w:val="none" w:sz="0" w:space="0" w:color="auto"/>
            <w:left w:val="none" w:sz="0" w:space="0" w:color="auto"/>
            <w:bottom w:val="none" w:sz="0" w:space="0" w:color="auto"/>
            <w:right w:val="none" w:sz="0" w:space="0" w:color="auto"/>
          </w:divBdr>
        </w:div>
        <w:div w:id="1418283513">
          <w:marLeft w:val="0"/>
          <w:marRight w:val="0"/>
          <w:marTop w:val="0"/>
          <w:marBottom w:val="0"/>
          <w:divBdr>
            <w:top w:val="none" w:sz="0" w:space="0" w:color="auto"/>
            <w:left w:val="none" w:sz="0" w:space="0" w:color="auto"/>
            <w:bottom w:val="none" w:sz="0" w:space="0" w:color="auto"/>
            <w:right w:val="none" w:sz="0" w:space="0" w:color="auto"/>
          </w:divBdr>
        </w:div>
        <w:div w:id="1451702399">
          <w:marLeft w:val="0"/>
          <w:marRight w:val="0"/>
          <w:marTop w:val="0"/>
          <w:marBottom w:val="0"/>
          <w:divBdr>
            <w:top w:val="none" w:sz="0" w:space="0" w:color="auto"/>
            <w:left w:val="none" w:sz="0" w:space="0" w:color="auto"/>
            <w:bottom w:val="none" w:sz="0" w:space="0" w:color="auto"/>
            <w:right w:val="none" w:sz="0" w:space="0" w:color="auto"/>
          </w:divBdr>
        </w:div>
        <w:div w:id="1601179849">
          <w:marLeft w:val="0"/>
          <w:marRight w:val="0"/>
          <w:marTop w:val="0"/>
          <w:marBottom w:val="0"/>
          <w:divBdr>
            <w:top w:val="none" w:sz="0" w:space="0" w:color="auto"/>
            <w:left w:val="none" w:sz="0" w:space="0" w:color="auto"/>
            <w:bottom w:val="none" w:sz="0" w:space="0" w:color="auto"/>
            <w:right w:val="none" w:sz="0" w:space="0" w:color="auto"/>
          </w:divBdr>
        </w:div>
        <w:div w:id="1770855635">
          <w:marLeft w:val="0"/>
          <w:marRight w:val="0"/>
          <w:marTop w:val="0"/>
          <w:marBottom w:val="0"/>
          <w:divBdr>
            <w:top w:val="none" w:sz="0" w:space="0" w:color="auto"/>
            <w:left w:val="none" w:sz="0" w:space="0" w:color="auto"/>
            <w:bottom w:val="none" w:sz="0" w:space="0" w:color="auto"/>
            <w:right w:val="none" w:sz="0" w:space="0" w:color="auto"/>
          </w:divBdr>
        </w:div>
        <w:div w:id="2061781692">
          <w:marLeft w:val="0"/>
          <w:marRight w:val="0"/>
          <w:marTop w:val="0"/>
          <w:marBottom w:val="0"/>
          <w:divBdr>
            <w:top w:val="none" w:sz="0" w:space="0" w:color="auto"/>
            <w:left w:val="none" w:sz="0" w:space="0" w:color="auto"/>
            <w:bottom w:val="none" w:sz="0" w:space="0" w:color="auto"/>
            <w:right w:val="none" w:sz="0" w:space="0" w:color="auto"/>
          </w:divBdr>
        </w:div>
        <w:div w:id="213956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OFFICE OF PUBLIC INFORMATION AND COMMUNICATION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38FDF5-3DA7-403B-9843-E97324F0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IAEA  |  Media and Outreach Section  |  Office of Public Information and Communication</vt:lpstr>
    </vt:vector>
  </TitlesOfParts>
  <Company>IAEA</Company>
  <LinksUpToDate>false</LinksUpToDate>
  <CharactersWithSpaces>3931</CharactersWithSpaces>
  <SharedDoc>false</SharedDoc>
  <HyperlinkBase/>
  <HLinks>
    <vt:vector size="12" baseType="variant">
      <vt:variant>
        <vt:i4>5505112</vt:i4>
      </vt:variant>
      <vt:variant>
        <vt:i4>3</vt:i4>
      </vt:variant>
      <vt:variant>
        <vt:i4>0</vt:i4>
      </vt:variant>
      <vt:variant>
        <vt:i4>5</vt:i4>
      </vt:variant>
      <vt:variant>
        <vt:lpwstr>http://www.iaea.org/</vt:lpwstr>
      </vt:variant>
      <vt:variant>
        <vt:lpwstr/>
      </vt:variant>
      <vt:variant>
        <vt:i4>5505124</vt:i4>
      </vt:variant>
      <vt:variant>
        <vt:i4>0</vt:i4>
      </vt:variant>
      <vt:variant>
        <vt:i4>0</vt:i4>
      </vt:variant>
      <vt:variant>
        <vt:i4>5</vt:i4>
      </vt:variant>
      <vt:variant>
        <vt:lpwstr>mailto:press@iaea.org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  |  Media and Outreach Section  |  Office of Public Information and Communication</dc:title>
  <dc:creator>LOOF, Susanna</dc:creator>
  <cp:lastModifiedBy>Loizidou  Eleni</cp:lastModifiedBy>
  <cp:revision>2</cp:revision>
  <cp:lastPrinted>2016-01-08T15:32:00Z</cp:lastPrinted>
  <dcterms:created xsi:type="dcterms:W3CDTF">2017-02-23T06:37:00Z</dcterms:created>
  <dcterms:modified xsi:type="dcterms:W3CDTF">2017-02-23T06:37:00Z</dcterms:modified>
</cp:coreProperties>
</file>