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85" w:rsidRDefault="00D4556A" w:rsidP="00D4556A">
      <w:pPr>
        <w:jc w:val="center"/>
        <w:rPr>
          <w:rFonts w:ascii="Arial" w:hAnsi="Arial" w:cs="Arial"/>
          <w:b/>
          <w:u w:val="single"/>
        </w:rPr>
      </w:pPr>
      <w:bookmarkStart w:id="0" w:name="_GoBack"/>
      <w:bookmarkEnd w:id="0"/>
      <w:r w:rsidRPr="00D4556A">
        <w:rPr>
          <w:rFonts w:ascii="Arial" w:hAnsi="Arial" w:cs="Arial"/>
          <w:b/>
          <w:u w:val="single"/>
        </w:rPr>
        <w:t>Instructions to opera</w:t>
      </w:r>
      <w:r>
        <w:rPr>
          <w:rFonts w:ascii="Arial" w:hAnsi="Arial" w:cs="Arial"/>
          <w:b/>
          <w:u w:val="single"/>
        </w:rPr>
        <w:t>tors and or new drilling owners</w:t>
      </w:r>
    </w:p>
    <w:p w:rsidR="00D4556A" w:rsidRDefault="00D4556A" w:rsidP="00D4556A">
      <w:pPr>
        <w:jc w:val="center"/>
        <w:rPr>
          <w:rFonts w:ascii="Arial" w:hAnsi="Arial" w:cs="Arial"/>
          <w:b/>
          <w:u w:val="single"/>
        </w:rPr>
      </w:pPr>
    </w:p>
    <w:p w:rsidR="00D4556A" w:rsidRPr="00D4556A" w:rsidRDefault="00D4556A" w:rsidP="00D4556A">
      <w:pPr>
        <w:jc w:val="center"/>
        <w:rPr>
          <w:rFonts w:ascii="Arial" w:hAnsi="Arial" w:cs="Arial"/>
          <w:b/>
          <w:u w:val="single"/>
        </w:rPr>
      </w:pPr>
    </w:p>
    <w:p w:rsidR="00A975A5" w:rsidRPr="00A975A5" w:rsidRDefault="00A975A5" w:rsidP="009931FA">
      <w:pPr>
        <w:jc w:val="both"/>
        <w:rPr>
          <w:rFonts w:ascii="Arial" w:hAnsi="Arial" w:cs="Arial"/>
          <w:b/>
        </w:rPr>
      </w:pPr>
      <w:r w:rsidRPr="00A975A5">
        <w:rPr>
          <w:rFonts w:ascii="Arial" w:hAnsi="Arial" w:cs="Arial"/>
          <w:b/>
        </w:rPr>
        <w:t xml:space="preserve">1. </w:t>
      </w:r>
      <w:r w:rsidRPr="00A975A5">
        <w:rPr>
          <w:rFonts w:ascii="Arial" w:hAnsi="Arial" w:cs="Arial"/>
          <w:b/>
          <w:u w:val="single"/>
        </w:rPr>
        <w:t>Offshore Safety</w:t>
      </w:r>
    </w:p>
    <w:p w:rsidR="00107985" w:rsidRPr="00A32D1B" w:rsidRDefault="00107985" w:rsidP="009931FA">
      <w:pPr>
        <w:pStyle w:val="ListParagraph"/>
        <w:jc w:val="both"/>
        <w:rPr>
          <w:rFonts w:ascii="Arial" w:hAnsi="Arial" w:cs="Arial"/>
        </w:rPr>
      </w:pPr>
      <w:r w:rsidRPr="00290BEF">
        <w:rPr>
          <w:rFonts w:ascii="Arial" w:hAnsi="Arial" w:cs="Arial"/>
        </w:rPr>
        <w:t xml:space="preserve">According to the provisions of the </w:t>
      </w:r>
      <w:r w:rsidR="00A975A5" w:rsidRPr="00290BEF">
        <w:rPr>
          <w:rFonts w:ascii="Arial" w:hAnsi="Arial" w:cs="Arial"/>
          <w:b/>
          <w:u w:val="single"/>
        </w:rPr>
        <w:t xml:space="preserve">Safety and </w:t>
      </w:r>
      <w:r w:rsidRPr="00290BEF">
        <w:rPr>
          <w:rFonts w:ascii="Arial" w:hAnsi="Arial" w:cs="Arial"/>
          <w:b/>
          <w:u w:val="single"/>
        </w:rPr>
        <w:t xml:space="preserve">Health at Work (Safety of Offshore Operations Oil and Gas) </w:t>
      </w:r>
      <w:r w:rsidRPr="00757C3E">
        <w:rPr>
          <w:rFonts w:ascii="Arial" w:hAnsi="Arial" w:cs="Arial"/>
          <w:b/>
          <w:u w:val="single"/>
        </w:rPr>
        <w:t>Regulations 2015 (P.I. 424/2015)</w:t>
      </w:r>
      <w:r w:rsidRPr="00A32D1B">
        <w:rPr>
          <w:rFonts w:ascii="Arial" w:hAnsi="Arial" w:cs="Arial"/>
        </w:rPr>
        <w:t xml:space="preserve"> </w:t>
      </w:r>
      <w:r w:rsidRPr="00290BEF">
        <w:rPr>
          <w:rFonts w:ascii="Arial" w:hAnsi="Arial" w:cs="Arial"/>
        </w:rPr>
        <w:t xml:space="preserve">which </w:t>
      </w:r>
      <w:r w:rsidR="00A975A5">
        <w:rPr>
          <w:rFonts w:ascii="Arial" w:hAnsi="Arial" w:cs="Arial"/>
        </w:rPr>
        <w:t>has transposed to Cyprus legislation the major part of</w:t>
      </w:r>
      <w:r w:rsidRPr="00290BEF">
        <w:rPr>
          <w:rFonts w:ascii="Arial" w:hAnsi="Arial" w:cs="Arial"/>
        </w:rPr>
        <w:t xml:space="preserve"> the D</w:t>
      </w:r>
      <w:r>
        <w:rPr>
          <w:rFonts w:ascii="Arial" w:hAnsi="Arial" w:cs="Arial"/>
        </w:rPr>
        <w:t>irective 2013/30 / EC on Offshore Safety (OSD)</w:t>
      </w:r>
      <w:r w:rsidRPr="00290BEF">
        <w:rPr>
          <w:rFonts w:ascii="Arial" w:hAnsi="Arial" w:cs="Arial"/>
        </w:rPr>
        <w:t xml:space="preserve"> the operator or owner of a new well </w:t>
      </w:r>
      <w:r>
        <w:rPr>
          <w:rFonts w:ascii="Arial" w:hAnsi="Arial" w:cs="Arial"/>
        </w:rPr>
        <w:t xml:space="preserve">shall </w:t>
      </w:r>
      <w:r w:rsidRPr="00290BEF">
        <w:rPr>
          <w:rFonts w:ascii="Arial" w:hAnsi="Arial" w:cs="Arial"/>
        </w:rPr>
        <w:t xml:space="preserve">submit to the </w:t>
      </w:r>
      <w:r>
        <w:rPr>
          <w:rFonts w:ascii="Arial" w:hAnsi="Arial" w:cs="Arial"/>
        </w:rPr>
        <w:t>Department of Labour Inspection</w:t>
      </w:r>
      <w:r w:rsidRPr="00290BEF">
        <w:rPr>
          <w:rFonts w:ascii="Arial" w:hAnsi="Arial" w:cs="Arial"/>
        </w:rPr>
        <w:t xml:space="preserve"> (DLI) the following documents:</w:t>
      </w:r>
    </w:p>
    <w:p w:rsidR="00107985" w:rsidRPr="00A32D1B" w:rsidRDefault="00107985" w:rsidP="009931FA">
      <w:pPr>
        <w:pStyle w:val="ListParagraph"/>
        <w:ind w:left="360"/>
        <w:jc w:val="both"/>
        <w:rPr>
          <w:rFonts w:ascii="Arial" w:hAnsi="Arial" w:cs="Arial"/>
        </w:rPr>
      </w:pPr>
    </w:p>
    <w:p w:rsidR="00107985" w:rsidRPr="00A32D1B" w:rsidRDefault="00107985" w:rsidP="009931FA">
      <w:pPr>
        <w:pStyle w:val="ListParagraph"/>
        <w:jc w:val="both"/>
        <w:rPr>
          <w:rFonts w:ascii="Arial" w:hAnsi="Arial" w:cs="Arial"/>
          <w:b/>
        </w:rPr>
      </w:pPr>
      <w:r w:rsidRPr="00A32D1B">
        <w:rPr>
          <w:rFonts w:ascii="Arial" w:hAnsi="Arial" w:cs="Arial"/>
          <w:b/>
        </w:rPr>
        <w:t>1.1 Notification of well operations</w:t>
      </w:r>
    </w:p>
    <w:p w:rsidR="00107985" w:rsidRDefault="00107985" w:rsidP="009931FA">
      <w:pPr>
        <w:pStyle w:val="ListParagraph"/>
        <w:jc w:val="both"/>
        <w:rPr>
          <w:rFonts w:ascii="Arial" w:hAnsi="Arial" w:cs="Arial"/>
        </w:rPr>
      </w:pPr>
      <w:r w:rsidRPr="00290BEF">
        <w:rPr>
          <w:rFonts w:ascii="Arial" w:hAnsi="Arial" w:cs="Arial"/>
        </w:rPr>
        <w:t xml:space="preserve">Regulation 17 of the </w:t>
      </w:r>
      <w:r>
        <w:rPr>
          <w:rFonts w:ascii="Arial" w:hAnsi="Arial" w:cs="Arial"/>
        </w:rPr>
        <w:t xml:space="preserve">above </w:t>
      </w:r>
      <w:r w:rsidR="00A975A5">
        <w:rPr>
          <w:rFonts w:ascii="Arial" w:hAnsi="Arial" w:cs="Arial"/>
        </w:rPr>
        <w:t xml:space="preserve">mentioned </w:t>
      </w:r>
      <w:r w:rsidRPr="00290BEF">
        <w:rPr>
          <w:rFonts w:ascii="Arial" w:hAnsi="Arial" w:cs="Arial"/>
        </w:rPr>
        <w:t xml:space="preserve">Regulations (Article 15 of the </w:t>
      </w:r>
      <w:r>
        <w:rPr>
          <w:rFonts w:ascii="Arial" w:hAnsi="Arial" w:cs="Arial"/>
        </w:rPr>
        <w:t>OSD</w:t>
      </w:r>
      <w:r w:rsidRPr="00290BEF">
        <w:rPr>
          <w:rFonts w:ascii="Arial" w:hAnsi="Arial" w:cs="Arial"/>
        </w:rPr>
        <w:t>)</w:t>
      </w:r>
      <w:r>
        <w:rPr>
          <w:rFonts w:ascii="Arial" w:hAnsi="Arial" w:cs="Arial"/>
        </w:rPr>
        <w:t xml:space="preserve"> provides that the operator submits to the DLI a notification of well operations</w:t>
      </w:r>
      <w:r w:rsidRPr="00290BEF">
        <w:rPr>
          <w:rFonts w:ascii="Arial" w:hAnsi="Arial" w:cs="Arial"/>
        </w:rPr>
        <w:t xml:space="preserve">. </w:t>
      </w:r>
      <w:r>
        <w:rPr>
          <w:rFonts w:ascii="Arial" w:hAnsi="Arial" w:cs="Arial"/>
        </w:rPr>
        <w:t xml:space="preserve">The notification should be submitted </w:t>
      </w:r>
      <w:r w:rsidRPr="00290BEF">
        <w:rPr>
          <w:rFonts w:ascii="Arial" w:hAnsi="Arial" w:cs="Arial"/>
        </w:rPr>
        <w:t xml:space="preserve">three months before the commencement of the well operation. At the </w:t>
      </w:r>
      <w:r>
        <w:rPr>
          <w:rFonts w:ascii="Arial" w:hAnsi="Arial" w:cs="Arial"/>
        </w:rPr>
        <w:t>submission,</w:t>
      </w:r>
      <w:r w:rsidRPr="00290BEF">
        <w:rPr>
          <w:rFonts w:ascii="Arial" w:hAnsi="Arial" w:cs="Arial"/>
        </w:rPr>
        <w:t xml:space="preserve"> a relevant fee of 1000 Euros should be paid</w:t>
      </w:r>
      <w:r>
        <w:rPr>
          <w:rFonts w:ascii="Arial" w:hAnsi="Arial" w:cs="Arial"/>
        </w:rPr>
        <w:t>.</w:t>
      </w:r>
    </w:p>
    <w:p w:rsidR="00107985" w:rsidRDefault="00107985" w:rsidP="009931FA">
      <w:pPr>
        <w:pStyle w:val="ListParagraph"/>
        <w:jc w:val="both"/>
        <w:rPr>
          <w:rFonts w:ascii="Arial" w:hAnsi="Arial" w:cs="Arial"/>
        </w:rPr>
      </w:pPr>
      <w:r w:rsidRPr="00290BEF">
        <w:rPr>
          <w:rFonts w:ascii="Arial" w:hAnsi="Arial" w:cs="Arial"/>
        </w:rPr>
        <w:t>The purpose of the notification is the presentation of the design of the well and the proposed well operation.</w:t>
      </w:r>
      <w:r>
        <w:rPr>
          <w:rFonts w:ascii="Arial" w:hAnsi="Arial" w:cs="Arial"/>
        </w:rPr>
        <w:t xml:space="preserve"> </w:t>
      </w:r>
      <w:r w:rsidRPr="00290BEF">
        <w:rPr>
          <w:rFonts w:ascii="Arial" w:hAnsi="Arial" w:cs="Arial"/>
        </w:rPr>
        <w:t xml:space="preserve">The notification should contain information set out in Annex II Part 4 of the Regulations (Annex I, Part 4 of the </w:t>
      </w:r>
      <w:r>
        <w:rPr>
          <w:rFonts w:ascii="Arial" w:hAnsi="Arial" w:cs="Arial"/>
        </w:rPr>
        <w:t>OSD</w:t>
      </w:r>
      <w:r w:rsidRPr="00290BEF">
        <w:rPr>
          <w:rFonts w:ascii="Arial" w:hAnsi="Arial" w:cs="Arial"/>
        </w:rPr>
        <w:t>). The DLI examines the notification and submits comments.</w:t>
      </w:r>
    </w:p>
    <w:p w:rsidR="00107985" w:rsidRPr="00A32D1B" w:rsidRDefault="00107985" w:rsidP="009931FA">
      <w:pPr>
        <w:pStyle w:val="ListParagraph"/>
        <w:jc w:val="both"/>
        <w:rPr>
          <w:rFonts w:ascii="Arial" w:hAnsi="Arial" w:cs="Arial"/>
          <w:b/>
        </w:rPr>
      </w:pPr>
      <w:r>
        <w:rPr>
          <w:rFonts w:ascii="Arial" w:hAnsi="Arial" w:cs="Arial"/>
          <w:b/>
        </w:rPr>
        <w:t>1.2</w:t>
      </w:r>
      <w:r w:rsidRPr="00A32D1B">
        <w:rPr>
          <w:rFonts w:ascii="Arial" w:hAnsi="Arial" w:cs="Arial"/>
          <w:b/>
        </w:rPr>
        <w:t xml:space="preserve"> Report on major hazards for a non-production installation</w:t>
      </w:r>
    </w:p>
    <w:p w:rsidR="00107985" w:rsidRPr="00290BEF" w:rsidRDefault="00107985" w:rsidP="009931FA">
      <w:pPr>
        <w:pStyle w:val="ListParagraph"/>
        <w:jc w:val="both"/>
        <w:rPr>
          <w:rFonts w:ascii="Arial" w:hAnsi="Arial" w:cs="Arial"/>
        </w:rPr>
      </w:pPr>
      <w:r w:rsidRPr="00290BEF">
        <w:rPr>
          <w:rFonts w:ascii="Arial" w:hAnsi="Arial" w:cs="Arial"/>
        </w:rPr>
        <w:t xml:space="preserve">Regulation 15 of the </w:t>
      </w:r>
      <w:r>
        <w:rPr>
          <w:rFonts w:ascii="Arial" w:hAnsi="Arial" w:cs="Arial"/>
        </w:rPr>
        <w:t xml:space="preserve">above </w:t>
      </w:r>
      <w:r w:rsidR="00A975A5">
        <w:rPr>
          <w:rFonts w:ascii="Arial" w:hAnsi="Arial" w:cs="Arial"/>
        </w:rPr>
        <w:t xml:space="preserve">mentioned </w:t>
      </w:r>
      <w:r w:rsidRPr="00290BEF">
        <w:rPr>
          <w:rFonts w:ascii="Arial" w:hAnsi="Arial" w:cs="Arial"/>
        </w:rPr>
        <w:t xml:space="preserve">Regulations (Article 13 of the </w:t>
      </w:r>
      <w:r>
        <w:rPr>
          <w:rFonts w:ascii="Arial" w:hAnsi="Arial" w:cs="Arial"/>
        </w:rPr>
        <w:t>OSD</w:t>
      </w:r>
      <w:r w:rsidRPr="00290BEF">
        <w:rPr>
          <w:rFonts w:ascii="Arial" w:hAnsi="Arial" w:cs="Arial"/>
        </w:rPr>
        <w:t>)</w:t>
      </w:r>
      <w:r>
        <w:rPr>
          <w:rFonts w:ascii="Arial" w:hAnsi="Arial" w:cs="Arial"/>
        </w:rPr>
        <w:t xml:space="preserve"> provides that the </w:t>
      </w:r>
      <w:r w:rsidR="00852EAF">
        <w:rPr>
          <w:rFonts w:ascii="Arial" w:hAnsi="Arial" w:cs="Arial"/>
        </w:rPr>
        <w:t>owner</w:t>
      </w:r>
      <w:r>
        <w:rPr>
          <w:rFonts w:ascii="Arial" w:hAnsi="Arial" w:cs="Arial"/>
        </w:rPr>
        <w:t xml:space="preserve"> submits to the DLI</w:t>
      </w:r>
      <w:r w:rsidRPr="00290BEF">
        <w:rPr>
          <w:rFonts w:ascii="Arial" w:hAnsi="Arial" w:cs="Arial"/>
        </w:rPr>
        <w:t xml:space="preserve"> three months before the commencement of the well</w:t>
      </w:r>
      <w:r>
        <w:rPr>
          <w:rFonts w:ascii="Arial" w:hAnsi="Arial" w:cs="Arial"/>
        </w:rPr>
        <w:t>, a r</w:t>
      </w:r>
      <w:r w:rsidRPr="00290BEF">
        <w:rPr>
          <w:rFonts w:ascii="Arial" w:hAnsi="Arial" w:cs="Arial"/>
        </w:rPr>
        <w:t>eport on major hazards for a non-production installation. At the submission a relevant fee of 6000 Euros should be paid.</w:t>
      </w:r>
    </w:p>
    <w:p w:rsidR="00107985" w:rsidRDefault="00107985" w:rsidP="009931FA">
      <w:pPr>
        <w:pStyle w:val="ListParagraph"/>
        <w:jc w:val="both"/>
        <w:rPr>
          <w:rFonts w:ascii="Arial" w:hAnsi="Arial" w:cs="Arial"/>
        </w:rPr>
      </w:pPr>
      <w:r w:rsidRPr="00290BEF">
        <w:rPr>
          <w:rFonts w:ascii="Arial" w:hAnsi="Arial" w:cs="Arial"/>
        </w:rPr>
        <w:t>The purpose of the report is the detailed presentation of the risks, the method of prevention of the risks and the fa</w:t>
      </w:r>
      <w:r>
        <w:rPr>
          <w:rFonts w:ascii="Arial" w:hAnsi="Arial" w:cs="Arial"/>
        </w:rPr>
        <w:t>cing of emergency situations.</w:t>
      </w:r>
      <w:r>
        <w:rPr>
          <w:rFonts w:ascii="Arial" w:hAnsi="Arial" w:cs="Arial"/>
        </w:rPr>
        <w:br/>
      </w:r>
      <w:r w:rsidRPr="00290BEF">
        <w:rPr>
          <w:rFonts w:ascii="Arial" w:hAnsi="Arial" w:cs="Arial"/>
        </w:rPr>
        <w:t xml:space="preserve">Contains information set out in Annex II Part 3 of the Regulations (Annex I, Part 3 of the </w:t>
      </w:r>
      <w:r>
        <w:rPr>
          <w:rFonts w:ascii="Arial" w:hAnsi="Arial" w:cs="Arial"/>
        </w:rPr>
        <w:t>OSD</w:t>
      </w:r>
      <w:r w:rsidRPr="00290BEF">
        <w:rPr>
          <w:rFonts w:ascii="Arial" w:hAnsi="Arial" w:cs="Arial"/>
        </w:rPr>
        <w:t>). The DLI examines the report on major hazards and approves it or not.</w:t>
      </w:r>
    </w:p>
    <w:p w:rsidR="00107985" w:rsidRDefault="00107985" w:rsidP="009931FA">
      <w:pPr>
        <w:pStyle w:val="ListParagraph"/>
        <w:jc w:val="both"/>
        <w:rPr>
          <w:rFonts w:ascii="Arial" w:hAnsi="Arial" w:cs="Arial"/>
        </w:rPr>
      </w:pPr>
      <w:r w:rsidRPr="00290BEF">
        <w:rPr>
          <w:rFonts w:ascii="Arial" w:hAnsi="Arial" w:cs="Arial"/>
        </w:rPr>
        <w:t>The report on major haza</w:t>
      </w:r>
      <w:r>
        <w:rPr>
          <w:rFonts w:ascii="Arial" w:hAnsi="Arial" w:cs="Arial"/>
        </w:rPr>
        <w:t>rds</w:t>
      </w:r>
      <w:r w:rsidRPr="00290BEF">
        <w:rPr>
          <w:rFonts w:ascii="Arial" w:hAnsi="Arial" w:cs="Arial"/>
        </w:rPr>
        <w:t>, inter alia</w:t>
      </w:r>
      <w:r>
        <w:rPr>
          <w:rFonts w:ascii="Arial" w:hAnsi="Arial" w:cs="Arial"/>
        </w:rPr>
        <w:t>, should include the following:</w:t>
      </w:r>
    </w:p>
    <w:p w:rsidR="00107985" w:rsidRDefault="00107985" w:rsidP="009931FA">
      <w:pPr>
        <w:pStyle w:val="ListParagraph"/>
        <w:ind w:left="1080"/>
        <w:jc w:val="both"/>
        <w:rPr>
          <w:rFonts w:ascii="Arial" w:hAnsi="Arial" w:cs="Arial"/>
        </w:rPr>
      </w:pPr>
      <w:r w:rsidRPr="00290BEF">
        <w:rPr>
          <w:rFonts w:ascii="Arial" w:hAnsi="Arial" w:cs="Arial"/>
        </w:rPr>
        <w:t xml:space="preserve">a) the corporate major accident prevention policy according to Regulation 21 paragraph 1 and Annex II, section 8 of the Regulations (in accordance with Article 19, paragraph 1 and Annex I, Part 8 of the </w:t>
      </w:r>
      <w:r>
        <w:rPr>
          <w:rFonts w:ascii="Arial" w:hAnsi="Arial" w:cs="Arial"/>
        </w:rPr>
        <w:t>OSD</w:t>
      </w:r>
      <w:r w:rsidRPr="00290BEF">
        <w:rPr>
          <w:rFonts w:ascii="Arial" w:hAnsi="Arial" w:cs="Arial"/>
        </w:rPr>
        <w:t>),</w:t>
      </w:r>
    </w:p>
    <w:p w:rsidR="00107985" w:rsidRDefault="00107985" w:rsidP="009931FA">
      <w:pPr>
        <w:pStyle w:val="ListParagraph"/>
        <w:ind w:left="1080"/>
        <w:jc w:val="both"/>
        <w:rPr>
          <w:rFonts w:ascii="Arial" w:hAnsi="Arial" w:cs="Arial"/>
        </w:rPr>
      </w:pPr>
      <w:r w:rsidRPr="00290BEF">
        <w:rPr>
          <w:rFonts w:ascii="Arial" w:hAnsi="Arial" w:cs="Arial"/>
        </w:rPr>
        <w:t xml:space="preserve">b) the safety and environmental management system or adequate description of this system in accordance with Regulation 21 paragraph 3 and Annex II, section 9 of the Regulations (Article 19 paragraph 3 and Annex I, Part 9 of the </w:t>
      </w:r>
      <w:r>
        <w:rPr>
          <w:rFonts w:ascii="Arial" w:hAnsi="Arial" w:cs="Arial"/>
        </w:rPr>
        <w:t>OSD</w:t>
      </w:r>
      <w:r w:rsidRPr="00290BEF">
        <w:rPr>
          <w:rFonts w:ascii="Arial" w:hAnsi="Arial" w:cs="Arial"/>
        </w:rPr>
        <w:t>)</w:t>
      </w:r>
      <w:r>
        <w:rPr>
          <w:rFonts w:ascii="Arial" w:hAnsi="Arial" w:cs="Arial"/>
        </w:rPr>
        <w:t>,</w:t>
      </w:r>
    </w:p>
    <w:p w:rsidR="00107985" w:rsidRDefault="00107985" w:rsidP="009931FA">
      <w:pPr>
        <w:pStyle w:val="ListParagraph"/>
        <w:ind w:left="1080"/>
        <w:jc w:val="both"/>
        <w:rPr>
          <w:rFonts w:ascii="Arial" w:hAnsi="Arial" w:cs="Arial"/>
        </w:rPr>
      </w:pPr>
      <w:r w:rsidRPr="00290BEF">
        <w:rPr>
          <w:rFonts w:ascii="Arial" w:hAnsi="Arial" w:cs="Arial"/>
        </w:rPr>
        <w:t xml:space="preserve">c) the internal emergency response plan or adequate description of this plan in accordance to Regulations 16 and 30 and Annex II, Section 10 of the Regulations (Articles 14 and 28 and Annex I, Part 10 of the </w:t>
      </w:r>
      <w:r>
        <w:rPr>
          <w:rFonts w:ascii="Arial" w:hAnsi="Arial" w:cs="Arial"/>
        </w:rPr>
        <w:t>OSD</w:t>
      </w:r>
      <w:r w:rsidRPr="00290BEF">
        <w:rPr>
          <w:rFonts w:ascii="Arial" w:hAnsi="Arial" w:cs="Arial"/>
        </w:rPr>
        <w:t>) and</w:t>
      </w:r>
      <w:r w:rsidRPr="00290BEF">
        <w:rPr>
          <w:rFonts w:ascii="Arial" w:hAnsi="Arial" w:cs="Arial"/>
        </w:rPr>
        <w:br/>
        <w:t>d)</w:t>
      </w:r>
      <w:r>
        <w:rPr>
          <w:rFonts w:ascii="Arial" w:hAnsi="Arial" w:cs="Arial"/>
        </w:rPr>
        <w:t xml:space="preserve"> </w:t>
      </w:r>
      <w:r w:rsidRPr="00290BEF">
        <w:rPr>
          <w:rFonts w:ascii="Arial" w:hAnsi="Arial" w:cs="Arial"/>
        </w:rPr>
        <w:t>a description of the independent verification scheme in accordance to Regulation 19 and Annex II, Section 5 of the Regulations (Article 15 and An</w:t>
      </w:r>
      <w:r>
        <w:rPr>
          <w:rFonts w:ascii="Arial" w:hAnsi="Arial" w:cs="Arial"/>
        </w:rPr>
        <w:t xml:space="preserve">nex I, Part 5 of the OSD). </w:t>
      </w:r>
    </w:p>
    <w:p w:rsidR="00107985" w:rsidRDefault="00107985" w:rsidP="009931FA">
      <w:pPr>
        <w:pStyle w:val="ListParagraph"/>
        <w:jc w:val="both"/>
        <w:rPr>
          <w:rFonts w:ascii="Arial" w:hAnsi="Arial" w:cs="Arial"/>
        </w:rPr>
      </w:pPr>
      <w:r>
        <w:rPr>
          <w:rFonts w:ascii="Arial" w:hAnsi="Arial" w:cs="Arial"/>
        </w:rPr>
        <w:t xml:space="preserve">The </w:t>
      </w:r>
      <w:r w:rsidRPr="00290BEF">
        <w:rPr>
          <w:rFonts w:ascii="Arial" w:hAnsi="Arial" w:cs="Arial"/>
        </w:rPr>
        <w:t>«Health, Safety and Environment Case Guidelines for Mobile Offshore Drilling Units»</w:t>
      </w:r>
      <w:r>
        <w:rPr>
          <w:rFonts w:ascii="Arial" w:hAnsi="Arial" w:cs="Arial"/>
        </w:rPr>
        <w:t xml:space="preserve"> guidelines issued by the </w:t>
      </w:r>
      <w:r w:rsidRPr="00290BEF">
        <w:rPr>
          <w:rFonts w:ascii="Arial" w:hAnsi="Arial" w:cs="Arial"/>
        </w:rPr>
        <w:t>International Association of Drilling Contractors</w:t>
      </w:r>
      <w:r>
        <w:rPr>
          <w:rFonts w:ascii="Arial" w:hAnsi="Arial" w:cs="Arial"/>
        </w:rPr>
        <w:t xml:space="preserve"> are considered as adequate guidelines for producing the report on major hazards. The guidelines can be found on the following link:  </w:t>
      </w:r>
      <w:hyperlink r:id="rId7" w:history="1">
        <w:r w:rsidRPr="009F3303">
          <w:rPr>
            <w:rStyle w:val="Hyperlink"/>
            <w:rFonts w:ascii="Arial" w:hAnsi="Arial" w:cs="Arial"/>
          </w:rPr>
          <w:t>http://www.iadc.org/iadc-hse-case-guidelines/</w:t>
        </w:r>
      </w:hyperlink>
    </w:p>
    <w:p w:rsidR="00107985" w:rsidRPr="003200F9" w:rsidRDefault="00107985" w:rsidP="009931FA">
      <w:pPr>
        <w:pStyle w:val="ListParagraph"/>
        <w:jc w:val="both"/>
        <w:rPr>
          <w:rFonts w:ascii="Arial" w:hAnsi="Arial" w:cs="Arial"/>
        </w:rPr>
      </w:pPr>
      <w:r>
        <w:rPr>
          <w:rFonts w:ascii="Arial" w:hAnsi="Arial" w:cs="Arial"/>
        </w:rPr>
        <w:t>Based on the above guidelines the DLI has prepared a methodology for the evaluation on the report on major hazards which can be found on the link:</w:t>
      </w:r>
    </w:p>
    <w:p w:rsidR="00107985" w:rsidRDefault="00E17580" w:rsidP="009931FA">
      <w:pPr>
        <w:pStyle w:val="ListParagraph"/>
        <w:jc w:val="both"/>
        <w:rPr>
          <w:rFonts w:ascii="Arial" w:hAnsi="Arial" w:cs="Arial"/>
        </w:rPr>
      </w:pPr>
      <w:hyperlink r:id="rId8" w:history="1">
        <w:r w:rsidR="00107985" w:rsidRPr="00757C3E">
          <w:rPr>
            <w:rStyle w:val="Hyperlink"/>
            <w:rFonts w:ascii="Arial" w:hAnsi="Arial" w:cs="Arial"/>
          </w:rPr>
          <w:t>http://www.mlsi.gov.cy/mlsi/dli/dliup.nsf/All/53C289A8FCBF8C96C2257E21003B2F26/$file/Methodology_Assessment_Safety_Report.pdf</w:t>
        </w:r>
      </w:hyperlink>
      <w:r w:rsidR="00107985" w:rsidRPr="00290BEF">
        <w:rPr>
          <w:rFonts w:ascii="Arial" w:hAnsi="Arial" w:cs="Arial"/>
        </w:rPr>
        <w:t xml:space="preserve"> </w:t>
      </w:r>
    </w:p>
    <w:p w:rsidR="00107985" w:rsidRDefault="00107985" w:rsidP="009931FA">
      <w:pPr>
        <w:pStyle w:val="ListParagraph"/>
        <w:jc w:val="both"/>
        <w:rPr>
          <w:rFonts w:ascii="Arial" w:hAnsi="Arial" w:cs="Arial"/>
        </w:rPr>
      </w:pPr>
    </w:p>
    <w:p w:rsidR="00A975A5" w:rsidRPr="00A975A5" w:rsidRDefault="00A975A5" w:rsidP="009931FA">
      <w:pPr>
        <w:pStyle w:val="ListParagraph"/>
        <w:ind w:left="0"/>
        <w:jc w:val="both"/>
        <w:rPr>
          <w:rFonts w:ascii="Arial" w:hAnsi="Arial" w:cs="Arial"/>
          <w:b/>
          <w:u w:val="single"/>
        </w:rPr>
      </w:pPr>
      <w:r w:rsidRPr="00A975A5">
        <w:rPr>
          <w:rFonts w:ascii="Arial" w:hAnsi="Arial" w:cs="Arial"/>
          <w:b/>
        </w:rPr>
        <w:t xml:space="preserve">2. </w:t>
      </w:r>
      <w:r w:rsidRPr="00A975A5">
        <w:rPr>
          <w:rFonts w:ascii="Arial" w:hAnsi="Arial" w:cs="Arial"/>
          <w:b/>
          <w:u w:val="single"/>
        </w:rPr>
        <w:t>Safety and Health at Work</w:t>
      </w:r>
    </w:p>
    <w:p w:rsidR="00107985" w:rsidRPr="00290BEF" w:rsidRDefault="00107985" w:rsidP="009931FA">
      <w:pPr>
        <w:pStyle w:val="ListParagraph"/>
        <w:jc w:val="both"/>
        <w:rPr>
          <w:rFonts w:ascii="Arial" w:hAnsi="Arial" w:cs="Arial"/>
          <w:u w:val="single"/>
        </w:rPr>
      </w:pPr>
      <w:r w:rsidRPr="00290BEF">
        <w:rPr>
          <w:rFonts w:ascii="Arial" w:hAnsi="Arial" w:cs="Arial"/>
        </w:rPr>
        <w:t>Ac</w:t>
      </w:r>
      <w:r>
        <w:rPr>
          <w:rFonts w:ascii="Arial" w:hAnsi="Arial" w:cs="Arial"/>
        </w:rPr>
        <w:t xml:space="preserve">cording to the </w:t>
      </w:r>
      <w:r w:rsidRPr="00290BEF">
        <w:rPr>
          <w:rFonts w:ascii="Arial" w:hAnsi="Arial" w:cs="Arial"/>
        </w:rPr>
        <w:t xml:space="preserve">provision of the </w:t>
      </w:r>
      <w:r w:rsidR="00A975A5" w:rsidRPr="00757C3E">
        <w:rPr>
          <w:rFonts w:ascii="Arial" w:hAnsi="Arial" w:cs="Arial"/>
          <w:b/>
          <w:u w:val="single"/>
        </w:rPr>
        <w:t xml:space="preserve">Safety and </w:t>
      </w:r>
      <w:r w:rsidRPr="00757C3E">
        <w:rPr>
          <w:rFonts w:ascii="Arial" w:hAnsi="Arial" w:cs="Arial"/>
          <w:b/>
          <w:u w:val="single"/>
        </w:rPr>
        <w:t xml:space="preserve">Health Law 1996 </w:t>
      </w:r>
      <w:r w:rsidRPr="00A975A5">
        <w:rPr>
          <w:rFonts w:ascii="Arial" w:hAnsi="Arial" w:cs="Arial"/>
          <w:b/>
          <w:u w:val="single"/>
        </w:rPr>
        <w:t>to (2) 2015</w:t>
      </w:r>
      <w:r>
        <w:rPr>
          <w:rFonts w:ascii="Arial" w:hAnsi="Arial" w:cs="Arial"/>
        </w:rPr>
        <w:t xml:space="preserve"> </w:t>
      </w:r>
      <w:r w:rsidR="00A975A5">
        <w:rPr>
          <w:rFonts w:ascii="Arial" w:hAnsi="Arial" w:cs="Arial"/>
        </w:rPr>
        <w:t xml:space="preserve">and the </w:t>
      </w:r>
      <w:r w:rsidR="00A975A5" w:rsidRPr="00C174D2">
        <w:rPr>
          <w:rFonts w:ascii="Arial" w:hAnsi="Arial" w:cs="Arial"/>
          <w:b/>
          <w:u w:val="single"/>
        </w:rPr>
        <w:t>Management of Safety and Health at Work Issues Regulations 2002</w:t>
      </w:r>
      <w:r w:rsidR="00A975A5">
        <w:rPr>
          <w:rFonts w:ascii="Arial" w:hAnsi="Arial" w:cs="Arial"/>
        </w:rPr>
        <w:t xml:space="preserve"> </w:t>
      </w:r>
      <w:r>
        <w:rPr>
          <w:rFonts w:ascii="Arial" w:hAnsi="Arial" w:cs="Arial"/>
        </w:rPr>
        <w:t xml:space="preserve">the employer should </w:t>
      </w:r>
      <w:r w:rsidRPr="00290BEF">
        <w:rPr>
          <w:rFonts w:ascii="Arial" w:hAnsi="Arial" w:cs="Arial"/>
        </w:rPr>
        <w:t xml:space="preserve">perform a risk assessment </w:t>
      </w:r>
      <w:r>
        <w:rPr>
          <w:rFonts w:ascii="Arial" w:hAnsi="Arial" w:cs="Arial"/>
        </w:rPr>
        <w:t xml:space="preserve">and take all the appropriate measures </w:t>
      </w:r>
      <w:r w:rsidRPr="00290BEF">
        <w:rPr>
          <w:rFonts w:ascii="Arial" w:hAnsi="Arial" w:cs="Arial"/>
        </w:rPr>
        <w:t xml:space="preserve">to reduce all </w:t>
      </w:r>
      <w:r w:rsidRPr="00290BEF">
        <w:rPr>
          <w:rFonts w:ascii="Arial" w:hAnsi="Arial" w:cs="Arial"/>
        </w:rPr>
        <w:lastRenderedPageBreak/>
        <w:t xml:space="preserve">possible risks to personnel and </w:t>
      </w:r>
      <w:r>
        <w:rPr>
          <w:rFonts w:ascii="Arial" w:hAnsi="Arial" w:cs="Arial"/>
        </w:rPr>
        <w:t>other</w:t>
      </w:r>
      <w:r w:rsidRPr="00290BEF">
        <w:rPr>
          <w:rFonts w:ascii="Arial" w:hAnsi="Arial" w:cs="Arial"/>
        </w:rPr>
        <w:t xml:space="preserve"> persons</w:t>
      </w:r>
      <w:r>
        <w:rPr>
          <w:rFonts w:ascii="Arial" w:hAnsi="Arial" w:cs="Arial"/>
        </w:rPr>
        <w:t>. B</w:t>
      </w:r>
      <w:r w:rsidRPr="00290BEF">
        <w:rPr>
          <w:rFonts w:ascii="Arial" w:hAnsi="Arial" w:cs="Arial"/>
        </w:rPr>
        <w:t xml:space="preserve">ased on the above mentioned risk </w:t>
      </w:r>
      <w:r>
        <w:rPr>
          <w:rFonts w:ascii="Arial" w:hAnsi="Arial" w:cs="Arial"/>
        </w:rPr>
        <w:t>assessment s</w:t>
      </w:r>
      <w:r w:rsidRPr="00290BEF">
        <w:rPr>
          <w:rFonts w:ascii="Arial" w:hAnsi="Arial" w:cs="Arial"/>
        </w:rPr>
        <w:t xml:space="preserve">hould </w:t>
      </w:r>
      <w:r>
        <w:rPr>
          <w:rFonts w:ascii="Arial" w:hAnsi="Arial" w:cs="Arial"/>
        </w:rPr>
        <w:t xml:space="preserve">establish and </w:t>
      </w:r>
      <w:r w:rsidRPr="00290BEF">
        <w:rPr>
          <w:rFonts w:ascii="Arial" w:hAnsi="Arial" w:cs="Arial"/>
        </w:rPr>
        <w:t xml:space="preserve">maintain an appropriate health and safety management system.  </w:t>
      </w:r>
      <w:r w:rsidR="00A975A5">
        <w:rPr>
          <w:rFonts w:ascii="Arial" w:hAnsi="Arial" w:cs="Arial"/>
        </w:rPr>
        <w:t>These legal acts have the provisions of EU Framework Directive on Safety and Health at Work (89/391/EEC). Note also that on offshore installat</w:t>
      </w:r>
      <w:r w:rsidR="00C174D2">
        <w:rPr>
          <w:rFonts w:ascii="Arial" w:hAnsi="Arial" w:cs="Arial"/>
        </w:rPr>
        <w:t xml:space="preserve">ions all the provisions of the </w:t>
      </w:r>
      <w:r w:rsidR="00C174D2" w:rsidRPr="00C174D2">
        <w:rPr>
          <w:rFonts w:ascii="Arial" w:hAnsi="Arial" w:cs="Arial"/>
          <w:b/>
          <w:u w:val="single"/>
        </w:rPr>
        <w:t>Minimum Requirements for Safety and Health at Work (Extractive Industries through Drilling)</w:t>
      </w:r>
      <w:r w:rsidR="00A975A5">
        <w:rPr>
          <w:rFonts w:ascii="Arial" w:hAnsi="Arial" w:cs="Arial"/>
        </w:rPr>
        <w:t xml:space="preserve"> Regulations </w:t>
      </w:r>
      <w:r w:rsidR="00C174D2">
        <w:rPr>
          <w:rFonts w:ascii="Arial" w:hAnsi="Arial" w:cs="Arial"/>
        </w:rPr>
        <w:t xml:space="preserve">of 2002 which </w:t>
      </w:r>
      <w:r w:rsidR="00A975A5">
        <w:rPr>
          <w:rFonts w:ascii="Arial" w:hAnsi="Arial" w:cs="Arial"/>
        </w:rPr>
        <w:t xml:space="preserve">have transposed the provisions of EU Directive </w:t>
      </w:r>
      <w:r w:rsidR="00C174D2">
        <w:rPr>
          <w:rFonts w:ascii="Arial" w:hAnsi="Arial" w:cs="Arial"/>
        </w:rPr>
        <w:t>92/91/EEC are also applicable.</w:t>
      </w:r>
    </w:p>
    <w:p w:rsidR="00107985" w:rsidRDefault="00107985" w:rsidP="009931FA">
      <w:pPr>
        <w:pStyle w:val="ListParagraph"/>
        <w:jc w:val="both"/>
        <w:rPr>
          <w:rFonts w:ascii="Arial" w:hAnsi="Arial" w:cs="Arial"/>
          <w:u w:val="single"/>
        </w:rPr>
      </w:pPr>
    </w:p>
    <w:p w:rsidR="00A975A5" w:rsidRPr="00A975A5" w:rsidRDefault="00A975A5" w:rsidP="009931FA">
      <w:pPr>
        <w:pStyle w:val="ListParagraph"/>
        <w:ind w:left="0"/>
        <w:jc w:val="both"/>
        <w:rPr>
          <w:rFonts w:ascii="Arial" w:hAnsi="Arial" w:cs="Arial"/>
          <w:b/>
          <w:u w:val="single"/>
        </w:rPr>
      </w:pPr>
      <w:r w:rsidRPr="00A975A5">
        <w:rPr>
          <w:rFonts w:ascii="Arial" w:hAnsi="Arial" w:cs="Arial"/>
          <w:b/>
        </w:rPr>
        <w:t xml:space="preserve">3. </w:t>
      </w:r>
      <w:r w:rsidRPr="00A975A5">
        <w:rPr>
          <w:rFonts w:ascii="Arial" w:hAnsi="Arial" w:cs="Arial"/>
          <w:b/>
          <w:u w:val="single"/>
        </w:rPr>
        <w:t>Atmospheric Pollution Control</w:t>
      </w:r>
    </w:p>
    <w:p w:rsidR="00107985" w:rsidRPr="00290BEF" w:rsidRDefault="00107985" w:rsidP="009931FA">
      <w:pPr>
        <w:pStyle w:val="ListParagraph"/>
        <w:jc w:val="both"/>
        <w:rPr>
          <w:rFonts w:ascii="Arial" w:hAnsi="Arial" w:cs="Arial"/>
          <w:u w:val="single"/>
        </w:rPr>
      </w:pPr>
      <w:r w:rsidRPr="00290BEF">
        <w:rPr>
          <w:rFonts w:ascii="Arial" w:hAnsi="Arial" w:cs="Arial"/>
        </w:rPr>
        <w:t xml:space="preserve">According to the basic provisions of the </w:t>
      </w:r>
      <w:r w:rsidRPr="00290BEF">
        <w:rPr>
          <w:rFonts w:ascii="Arial" w:hAnsi="Arial" w:cs="Arial"/>
          <w:b/>
          <w:u w:val="single"/>
        </w:rPr>
        <w:t>Atmospheric Pollution Control Laws of 2002 to 2013</w:t>
      </w:r>
      <w:r w:rsidRPr="00290BEF">
        <w:rPr>
          <w:rFonts w:ascii="Arial" w:hAnsi="Arial" w:cs="Arial"/>
        </w:rPr>
        <w:t xml:space="preserve">, for the Drilling Operation activity and in the case where no combustion plant with thermal input of 15MW or more will be installed, Total </w:t>
      </w:r>
      <w:r w:rsidRPr="00615F13">
        <w:rPr>
          <w:rFonts w:ascii="Arial" w:hAnsi="Arial" w:cs="Arial"/>
          <w:b/>
        </w:rPr>
        <w:t>does not need</w:t>
      </w:r>
      <w:r w:rsidRPr="00290BEF">
        <w:rPr>
          <w:rFonts w:ascii="Arial" w:hAnsi="Arial" w:cs="Arial"/>
        </w:rPr>
        <w:t xml:space="preserve"> to submit any application for Air Emission Permit according to. </w:t>
      </w:r>
    </w:p>
    <w:p w:rsidR="00107985" w:rsidRPr="00290BEF" w:rsidRDefault="00107985" w:rsidP="009931FA">
      <w:pPr>
        <w:pStyle w:val="ListParagraph"/>
        <w:jc w:val="both"/>
        <w:rPr>
          <w:rFonts w:ascii="Arial" w:hAnsi="Arial" w:cs="Arial"/>
        </w:rPr>
      </w:pPr>
      <w:r w:rsidRPr="00290BEF">
        <w:rPr>
          <w:rFonts w:ascii="Arial" w:hAnsi="Arial" w:cs="Arial"/>
        </w:rPr>
        <w:t>In addition, if any activity listed in Annex I of EU Directive 2010/75/EU on industrial emissions will take place</w:t>
      </w:r>
      <w:proofErr w:type="gramStart"/>
      <w:r w:rsidRPr="00290BEF">
        <w:rPr>
          <w:rFonts w:ascii="Arial" w:hAnsi="Arial" w:cs="Arial"/>
        </w:rPr>
        <w:t>,  an</w:t>
      </w:r>
      <w:proofErr w:type="gramEnd"/>
      <w:r w:rsidRPr="00290BEF">
        <w:rPr>
          <w:rFonts w:ascii="Arial" w:hAnsi="Arial" w:cs="Arial"/>
        </w:rPr>
        <w:t xml:space="preserve"> application for an Industrial Emission Permit has to be submitted</w:t>
      </w:r>
      <w:r w:rsidR="00A975A5">
        <w:rPr>
          <w:rFonts w:ascii="Arial" w:hAnsi="Arial" w:cs="Arial"/>
        </w:rPr>
        <w:t xml:space="preserve"> to DLI</w:t>
      </w:r>
      <w:r w:rsidRPr="00290BEF">
        <w:rPr>
          <w:rFonts w:ascii="Arial" w:hAnsi="Arial" w:cs="Arial"/>
        </w:rPr>
        <w:t>.</w:t>
      </w:r>
    </w:p>
    <w:p w:rsidR="00A975A5" w:rsidRDefault="00A975A5" w:rsidP="009931FA">
      <w:pPr>
        <w:pStyle w:val="ListParagraph"/>
        <w:jc w:val="both"/>
        <w:rPr>
          <w:rFonts w:ascii="Arial" w:hAnsi="Arial" w:cs="Arial"/>
        </w:rPr>
      </w:pPr>
    </w:p>
    <w:p w:rsidR="00A975A5" w:rsidRPr="00A975A5" w:rsidRDefault="00A975A5" w:rsidP="009931FA">
      <w:pPr>
        <w:pStyle w:val="ListParagraph"/>
        <w:ind w:left="0"/>
        <w:jc w:val="both"/>
        <w:rPr>
          <w:rFonts w:ascii="Arial" w:hAnsi="Arial" w:cs="Arial"/>
          <w:b/>
        </w:rPr>
      </w:pPr>
      <w:r w:rsidRPr="00A975A5">
        <w:rPr>
          <w:rFonts w:ascii="Arial" w:hAnsi="Arial" w:cs="Arial"/>
          <w:b/>
        </w:rPr>
        <w:t xml:space="preserve">4.  </w:t>
      </w:r>
      <w:r w:rsidRPr="00A975A5">
        <w:rPr>
          <w:rFonts w:ascii="Arial" w:hAnsi="Arial" w:cs="Arial"/>
          <w:b/>
          <w:u w:val="single"/>
        </w:rPr>
        <w:t>Air Quality</w:t>
      </w:r>
    </w:p>
    <w:p w:rsidR="00107985" w:rsidRPr="00290BEF" w:rsidRDefault="00107985" w:rsidP="009931FA">
      <w:pPr>
        <w:pStyle w:val="ListParagraph"/>
        <w:jc w:val="both"/>
        <w:rPr>
          <w:rFonts w:ascii="Arial" w:hAnsi="Arial" w:cs="Arial"/>
          <w:u w:val="single"/>
        </w:rPr>
      </w:pPr>
      <w:r w:rsidRPr="00290BEF">
        <w:rPr>
          <w:rFonts w:ascii="Arial" w:hAnsi="Arial" w:cs="Arial"/>
        </w:rPr>
        <w:t xml:space="preserve">According to the basic provisions of </w:t>
      </w:r>
      <w:r w:rsidRPr="00290BEF">
        <w:rPr>
          <w:rFonts w:ascii="Arial" w:hAnsi="Arial" w:cs="Arial"/>
          <w:b/>
          <w:u w:val="single"/>
        </w:rPr>
        <w:t>the Air Quality Law (Law No. 77(I)/2012)</w:t>
      </w:r>
      <w:r w:rsidRPr="00290BEF">
        <w:rPr>
          <w:rFonts w:ascii="Arial" w:hAnsi="Arial" w:cs="Arial"/>
        </w:rPr>
        <w:t>, Cyprus has the obligation to submit every year a national emission inventory to the EU through the European Environment Agency (EEA) and to the Secretariat of the UN-ECE Convention on Long-range Transboundary Air Pollution (LRTAP Convention). According to Regulation 7 of the Air Quality (National Emission Ceilings for Certain Atmospheric Pollutants) Regulations of 2004, Cyprus shall establish emission inventories and projections using the methodologies agreed upon by the LRTAP Convention and is requested to use the EMEP/EEA Emission Inventory Guidebook 2013.</w:t>
      </w:r>
    </w:p>
    <w:p w:rsidR="00107985" w:rsidRPr="00290BEF" w:rsidRDefault="00107985" w:rsidP="009931FA">
      <w:pPr>
        <w:pStyle w:val="ListParagraph"/>
        <w:jc w:val="both"/>
        <w:rPr>
          <w:rFonts w:ascii="Arial" w:hAnsi="Arial" w:cs="Arial"/>
        </w:rPr>
      </w:pPr>
    </w:p>
    <w:p w:rsidR="00107985" w:rsidRPr="00290BEF" w:rsidRDefault="009931FA" w:rsidP="009931FA">
      <w:pPr>
        <w:pStyle w:val="ListParagraph"/>
        <w:ind w:left="709"/>
        <w:jc w:val="both"/>
        <w:rPr>
          <w:rFonts w:ascii="Arial" w:hAnsi="Arial" w:cs="Arial"/>
          <w:u w:val="single"/>
        </w:rPr>
      </w:pPr>
      <w:r>
        <w:rPr>
          <w:rFonts w:ascii="Arial" w:hAnsi="Arial" w:cs="Arial"/>
        </w:rPr>
        <w:t xml:space="preserve">4.1. </w:t>
      </w:r>
      <w:r w:rsidR="00107985" w:rsidRPr="00290BEF">
        <w:rPr>
          <w:rFonts w:ascii="Arial" w:hAnsi="Arial" w:cs="Arial"/>
        </w:rPr>
        <w:t>Within the above framework, upon completion of the drilling program, Cyprus must submit to EU and LRTAP emission estimations from the generating units (combustion engines on the drilling unit and the shore base) and from flaring of natural gas for the period of the drilling activities, for all the pollutants included in the LRTAP Convention, which are:</w:t>
      </w:r>
    </w:p>
    <w:p w:rsidR="00107985" w:rsidRDefault="00107985" w:rsidP="009931FA">
      <w:pPr>
        <w:numPr>
          <w:ilvl w:val="0"/>
          <w:numId w:val="2"/>
        </w:numPr>
        <w:tabs>
          <w:tab w:val="clear" w:pos="720"/>
          <w:tab w:val="num" w:pos="1418"/>
        </w:tabs>
        <w:ind w:left="1418" w:hanging="338"/>
        <w:jc w:val="both"/>
        <w:rPr>
          <w:rFonts w:ascii="Arial" w:hAnsi="Arial" w:cs="Arial"/>
        </w:rPr>
      </w:pPr>
      <w:r w:rsidRPr="00290BEF">
        <w:rPr>
          <w:rFonts w:ascii="Arial" w:hAnsi="Arial" w:cs="Arial"/>
        </w:rPr>
        <w:t xml:space="preserve">Main pollutants: NOx, NMVOC, </w:t>
      </w:r>
      <w:proofErr w:type="spellStart"/>
      <w:r w:rsidRPr="00290BEF">
        <w:rPr>
          <w:rFonts w:ascii="Arial" w:hAnsi="Arial" w:cs="Arial"/>
        </w:rPr>
        <w:t>SOx</w:t>
      </w:r>
      <w:proofErr w:type="spellEnd"/>
      <w:r w:rsidRPr="00290BEF">
        <w:rPr>
          <w:rFonts w:ascii="Arial" w:hAnsi="Arial" w:cs="Arial"/>
        </w:rPr>
        <w:t>, NH</w:t>
      </w:r>
      <w:r w:rsidRPr="00290BEF">
        <w:rPr>
          <w:rFonts w:ascii="Arial" w:hAnsi="Arial" w:cs="Arial"/>
          <w:vertAlign w:val="subscript"/>
        </w:rPr>
        <w:t>3</w:t>
      </w:r>
      <w:r w:rsidRPr="00290BEF">
        <w:rPr>
          <w:rFonts w:ascii="Arial" w:hAnsi="Arial" w:cs="Arial"/>
        </w:rPr>
        <w:t xml:space="preserve">, </w:t>
      </w:r>
      <w:r w:rsidRPr="00290BEF">
        <w:rPr>
          <w:rFonts w:ascii="Arial" w:hAnsi="Arial" w:cs="Arial"/>
          <w:lang w:val="en-GB"/>
        </w:rPr>
        <w:t>CH</w:t>
      </w:r>
      <w:r w:rsidRPr="00290BEF">
        <w:rPr>
          <w:rFonts w:ascii="Arial" w:hAnsi="Arial" w:cs="Arial"/>
          <w:vertAlign w:val="subscript"/>
        </w:rPr>
        <w:t>4</w:t>
      </w:r>
      <w:r w:rsidRPr="00290BEF">
        <w:rPr>
          <w:rFonts w:ascii="Arial" w:hAnsi="Arial" w:cs="Arial"/>
        </w:rPr>
        <w:t xml:space="preserve"> and CO.</w:t>
      </w:r>
    </w:p>
    <w:p w:rsidR="00107985" w:rsidRDefault="00107985" w:rsidP="009931FA">
      <w:pPr>
        <w:numPr>
          <w:ilvl w:val="0"/>
          <w:numId w:val="2"/>
        </w:numPr>
        <w:tabs>
          <w:tab w:val="clear" w:pos="720"/>
          <w:tab w:val="num" w:pos="1418"/>
        </w:tabs>
        <w:ind w:left="1418" w:hanging="338"/>
        <w:jc w:val="both"/>
        <w:rPr>
          <w:rFonts w:ascii="Arial" w:hAnsi="Arial" w:cs="Arial"/>
        </w:rPr>
      </w:pPr>
      <w:r w:rsidRPr="00290BEF">
        <w:rPr>
          <w:rFonts w:ascii="Arial" w:hAnsi="Arial" w:cs="Arial"/>
        </w:rPr>
        <w:t>Particulate Matter: TSP, PM10 and PM2</w:t>
      </w:r>
      <w:proofErr w:type="gramStart"/>
      <w:r>
        <w:rPr>
          <w:rFonts w:ascii="Arial" w:hAnsi="Arial" w:cs="Arial"/>
        </w:rPr>
        <w:t>,</w:t>
      </w:r>
      <w:r w:rsidRPr="00290BEF">
        <w:rPr>
          <w:rFonts w:ascii="Arial" w:hAnsi="Arial" w:cs="Arial"/>
        </w:rPr>
        <w:t>5</w:t>
      </w:r>
      <w:proofErr w:type="gramEnd"/>
      <w:r w:rsidRPr="00290BEF">
        <w:rPr>
          <w:rFonts w:ascii="Arial" w:hAnsi="Arial" w:cs="Arial"/>
        </w:rPr>
        <w:t>.</w:t>
      </w:r>
    </w:p>
    <w:p w:rsidR="00107985" w:rsidRDefault="00107985" w:rsidP="009931FA">
      <w:pPr>
        <w:numPr>
          <w:ilvl w:val="0"/>
          <w:numId w:val="2"/>
        </w:numPr>
        <w:tabs>
          <w:tab w:val="clear" w:pos="720"/>
          <w:tab w:val="num" w:pos="1418"/>
        </w:tabs>
        <w:ind w:left="1418" w:hanging="338"/>
        <w:jc w:val="both"/>
        <w:rPr>
          <w:rFonts w:ascii="Arial" w:hAnsi="Arial" w:cs="Arial"/>
        </w:rPr>
      </w:pPr>
      <w:r w:rsidRPr="00290BEF">
        <w:rPr>
          <w:rFonts w:ascii="Arial" w:hAnsi="Arial" w:cs="Arial"/>
        </w:rPr>
        <w:t xml:space="preserve">Heavy Metals: </w:t>
      </w:r>
      <w:proofErr w:type="spellStart"/>
      <w:r w:rsidRPr="00290BEF">
        <w:rPr>
          <w:rFonts w:ascii="Arial" w:hAnsi="Arial" w:cs="Arial"/>
        </w:rPr>
        <w:t>Pb</w:t>
      </w:r>
      <w:proofErr w:type="spellEnd"/>
      <w:r w:rsidRPr="00290BEF">
        <w:rPr>
          <w:rFonts w:ascii="Arial" w:hAnsi="Arial" w:cs="Arial"/>
        </w:rPr>
        <w:t>, Cd, Hg, As, Cr, Cu, Ni, Se and Zn.</w:t>
      </w:r>
    </w:p>
    <w:p w:rsidR="00107985" w:rsidRPr="00290BEF" w:rsidRDefault="00107985" w:rsidP="009931FA">
      <w:pPr>
        <w:numPr>
          <w:ilvl w:val="0"/>
          <w:numId w:val="2"/>
        </w:numPr>
        <w:tabs>
          <w:tab w:val="clear" w:pos="720"/>
          <w:tab w:val="num" w:pos="1418"/>
        </w:tabs>
        <w:ind w:left="1418" w:hanging="338"/>
        <w:jc w:val="both"/>
        <w:rPr>
          <w:rFonts w:ascii="Arial" w:hAnsi="Arial" w:cs="Arial"/>
        </w:rPr>
      </w:pPr>
      <w:r w:rsidRPr="00290BEF">
        <w:rPr>
          <w:rFonts w:ascii="Arial" w:hAnsi="Arial" w:cs="Arial"/>
        </w:rPr>
        <w:t>Persistent Organic Pollutants: PCDD/PCDF (dioxins/furans), PAHs (benzo(a)pyrene, benzo(b)</w:t>
      </w:r>
      <w:proofErr w:type="spellStart"/>
      <w:r w:rsidRPr="00290BEF">
        <w:rPr>
          <w:rFonts w:ascii="Arial" w:hAnsi="Arial" w:cs="Arial"/>
        </w:rPr>
        <w:t>fluoranthene</w:t>
      </w:r>
      <w:proofErr w:type="spellEnd"/>
      <w:r w:rsidRPr="00290BEF">
        <w:rPr>
          <w:rFonts w:ascii="Arial" w:hAnsi="Arial" w:cs="Arial"/>
        </w:rPr>
        <w:t>, benzo(k)</w:t>
      </w:r>
      <w:proofErr w:type="spellStart"/>
      <w:r w:rsidRPr="00290BEF">
        <w:rPr>
          <w:rFonts w:ascii="Arial" w:hAnsi="Arial" w:cs="Arial"/>
        </w:rPr>
        <w:t>fluoranthene</w:t>
      </w:r>
      <w:proofErr w:type="spellEnd"/>
      <w:r w:rsidRPr="00290BEF">
        <w:rPr>
          <w:rFonts w:ascii="Arial" w:hAnsi="Arial" w:cs="Arial"/>
        </w:rPr>
        <w:t xml:space="preserve">, </w:t>
      </w:r>
      <w:proofErr w:type="spellStart"/>
      <w:r w:rsidRPr="00290BEF">
        <w:rPr>
          <w:rFonts w:ascii="Arial" w:hAnsi="Arial" w:cs="Arial"/>
        </w:rPr>
        <w:t>indeno</w:t>
      </w:r>
      <w:proofErr w:type="spellEnd"/>
      <w:r w:rsidRPr="00290BEF">
        <w:rPr>
          <w:rFonts w:ascii="Arial" w:hAnsi="Arial" w:cs="Arial"/>
        </w:rPr>
        <w:t>(1,2,3-cd)pyrene), HCB and PCBs.</w:t>
      </w:r>
    </w:p>
    <w:p w:rsidR="00107985" w:rsidRPr="00290BEF" w:rsidRDefault="00107985" w:rsidP="009931FA">
      <w:pPr>
        <w:ind w:left="1418"/>
        <w:jc w:val="both"/>
        <w:rPr>
          <w:rFonts w:ascii="Arial" w:hAnsi="Arial" w:cs="Arial"/>
        </w:rPr>
      </w:pPr>
    </w:p>
    <w:p w:rsidR="00107985" w:rsidRPr="00290BEF" w:rsidRDefault="00107985" w:rsidP="009931FA">
      <w:pPr>
        <w:ind w:left="720"/>
        <w:jc w:val="both"/>
        <w:rPr>
          <w:rFonts w:ascii="Arial" w:hAnsi="Arial" w:cs="Arial"/>
        </w:rPr>
      </w:pPr>
      <w:r w:rsidRPr="00290BEF">
        <w:rPr>
          <w:rFonts w:ascii="Arial" w:hAnsi="Arial" w:cs="Arial"/>
        </w:rPr>
        <w:t xml:space="preserve">4.2 The </w:t>
      </w:r>
      <w:r>
        <w:rPr>
          <w:rFonts w:ascii="Arial" w:hAnsi="Arial" w:cs="Arial"/>
        </w:rPr>
        <w:t>DLI</w:t>
      </w:r>
      <w:r w:rsidRPr="00290BEF">
        <w:rPr>
          <w:rFonts w:ascii="Arial" w:hAnsi="Arial" w:cs="Arial"/>
        </w:rPr>
        <w:t xml:space="preserve"> may calculate the above emissions on behalf of TOTAL, provided TOTAL </w:t>
      </w:r>
      <w:r w:rsidR="00A975A5">
        <w:rPr>
          <w:rFonts w:ascii="Arial" w:hAnsi="Arial" w:cs="Arial"/>
        </w:rPr>
        <w:t>provides to</w:t>
      </w:r>
      <w:r w:rsidRPr="00290BEF">
        <w:rPr>
          <w:rFonts w:ascii="Arial" w:hAnsi="Arial" w:cs="Arial"/>
        </w:rPr>
        <w:t xml:space="preserve"> the </w:t>
      </w:r>
      <w:r>
        <w:rPr>
          <w:rFonts w:ascii="Arial" w:hAnsi="Arial" w:cs="Arial"/>
        </w:rPr>
        <w:t>DLI</w:t>
      </w:r>
      <w:r w:rsidRPr="00290BEF">
        <w:rPr>
          <w:rFonts w:ascii="Arial" w:hAnsi="Arial" w:cs="Arial"/>
        </w:rPr>
        <w:t xml:space="preserve"> with the following data:</w:t>
      </w:r>
    </w:p>
    <w:p w:rsidR="00107985" w:rsidRPr="00290BEF" w:rsidRDefault="00107985" w:rsidP="009931FA">
      <w:pPr>
        <w:numPr>
          <w:ilvl w:val="1"/>
          <w:numId w:val="3"/>
        </w:numPr>
        <w:jc w:val="both"/>
        <w:rPr>
          <w:rFonts w:ascii="Arial" w:hAnsi="Arial" w:cs="Arial"/>
        </w:rPr>
      </w:pPr>
      <w:r w:rsidRPr="00290BEF">
        <w:rPr>
          <w:rFonts w:ascii="Arial" w:hAnsi="Arial" w:cs="Arial"/>
        </w:rPr>
        <w:t>Engine type</w:t>
      </w:r>
    </w:p>
    <w:p w:rsidR="00107985" w:rsidRPr="00290BEF" w:rsidRDefault="00107985" w:rsidP="009931FA">
      <w:pPr>
        <w:numPr>
          <w:ilvl w:val="1"/>
          <w:numId w:val="3"/>
        </w:numPr>
        <w:jc w:val="both"/>
        <w:rPr>
          <w:rFonts w:ascii="Arial" w:hAnsi="Arial" w:cs="Arial"/>
        </w:rPr>
      </w:pPr>
      <w:r w:rsidRPr="00290BEF">
        <w:rPr>
          <w:rFonts w:ascii="Arial" w:hAnsi="Arial" w:cs="Arial"/>
        </w:rPr>
        <w:t>Fuel type</w:t>
      </w:r>
    </w:p>
    <w:p w:rsidR="00107985" w:rsidRPr="00290BEF" w:rsidRDefault="00107985" w:rsidP="009931FA">
      <w:pPr>
        <w:numPr>
          <w:ilvl w:val="1"/>
          <w:numId w:val="3"/>
        </w:numPr>
        <w:jc w:val="both"/>
        <w:rPr>
          <w:rFonts w:ascii="Arial" w:hAnsi="Arial" w:cs="Arial"/>
        </w:rPr>
      </w:pPr>
      <w:r w:rsidRPr="00290BEF">
        <w:rPr>
          <w:rFonts w:ascii="Arial" w:hAnsi="Arial" w:cs="Arial"/>
        </w:rPr>
        <w:t>Fuel quantity consumed</w:t>
      </w:r>
    </w:p>
    <w:p w:rsidR="00107985" w:rsidRPr="00290BEF" w:rsidRDefault="00107985" w:rsidP="009931FA">
      <w:pPr>
        <w:numPr>
          <w:ilvl w:val="1"/>
          <w:numId w:val="3"/>
        </w:numPr>
        <w:jc w:val="both"/>
        <w:rPr>
          <w:rFonts w:ascii="Arial" w:hAnsi="Arial" w:cs="Arial"/>
        </w:rPr>
      </w:pPr>
      <w:r w:rsidRPr="00290BEF">
        <w:rPr>
          <w:rFonts w:ascii="Arial" w:hAnsi="Arial" w:cs="Arial"/>
        </w:rPr>
        <w:t>Fuel net calorific value (average)</w:t>
      </w:r>
    </w:p>
    <w:p w:rsidR="00107985" w:rsidRPr="00290BEF" w:rsidRDefault="00107985" w:rsidP="009931FA">
      <w:pPr>
        <w:numPr>
          <w:ilvl w:val="1"/>
          <w:numId w:val="3"/>
        </w:numPr>
        <w:jc w:val="both"/>
        <w:rPr>
          <w:rFonts w:ascii="Arial" w:hAnsi="Arial" w:cs="Arial"/>
        </w:rPr>
      </w:pPr>
      <w:r w:rsidRPr="00290BEF">
        <w:rPr>
          <w:rFonts w:ascii="Arial" w:hAnsi="Arial" w:cs="Arial"/>
        </w:rPr>
        <w:t>Natural Gas flared quantity</w:t>
      </w:r>
    </w:p>
    <w:p w:rsidR="00107985" w:rsidRPr="00290BEF" w:rsidRDefault="00107985" w:rsidP="009931FA">
      <w:pPr>
        <w:numPr>
          <w:ilvl w:val="1"/>
          <w:numId w:val="3"/>
        </w:numPr>
        <w:jc w:val="both"/>
        <w:rPr>
          <w:rFonts w:ascii="Arial" w:hAnsi="Arial" w:cs="Arial"/>
        </w:rPr>
      </w:pPr>
      <w:r w:rsidRPr="00290BEF">
        <w:rPr>
          <w:rFonts w:ascii="Arial" w:hAnsi="Arial" w:cs="Arial"/>
        </w:rPr>
        <w:t>Flaring of condensate quantity</w:t>
      </w:r>
    </w:p>
    <w:p w:rsidR="00107985" w:rsidRDefault="00107985" w:rsidP="009931FA">
      <w:pPr>
        <w:ind w:left="720"/>
        <w:jc w:val="both"/>
        <w:rPr>
          <w:rFonts w:ascii="Arial" w:hAnsi="Arial" w:cs="Arial"/>
        </w:rPr>
      </w:pPr>
    </w:p>
    <w:p w:rsidR="00107985" w:rsidRPr="00290BEF" w:rsidRDefault="00107985" w:rsidP="009931FA">
      <w:pPr>
        <w:ind w:left="720"/>
        <w:jc w:val="both"/>
        <w:rPr>
          <w:rFonts w:ascii="Arial" w:hAnsi="Arial" w:cs="Arial"/>
        </w:rPr>
      </w:pPr>
      <w:r w:rsidRPr="00290BEF">
        <w:rPr>
          <w:rFonts w:ascii="Arial" w:hAnsi="Arial" w:cs="Arial"/>
        </w:rPr>
        <w:t>It is worth noting that TOTAL will be informed on our calculations before the submission of data to EU and LRTAP Secretariat.</w:t>
      </w:r>
    </w:p>
    <w:p w:rsidR="00107985" w:rsidRDefault="00107985" w:rsidP="009931FA">
      <w:pPr>
        <w:ind w:left="360"/>
        <w:jc w:val="both"/>
        <w:rPr>
          <w:rFonts w:ascii="Arial" w:hAnsi="Arial" w:cs="Arial"/>
        </w:rPr>
      </w:pPr>
    </w:p>
    <w:p w:rsidR="00A975A5" w:rsidRPr="00A975A5" w:rsidRDefault="00A975A5" w:rsidP="009931FA">
      <w:pPr>
        <w:jc w:val="both"/>
        <w:rPr>
          <w:rFonts w:ascii="Arial" w:hAnsi="Arial" w:cs="Arial"/>
          <w:b/>
        </w:rPr>
      </w:pPr>
      <w:r w:rsidRPr="00A975A5">
        <w:rPr>
          <w:rFonts w:ascii="Arial" w:hAnsi="Arial" w:cs="Arial"/>
          <w:b/>
        </w:rPr>
        <w:t xml:space="preserve">5. </w:t>
      </w:r>
      <w:r w:rsidRPr="00A975A5">
        <w:rPr>
          <w:rFonts w:ascii="Arial" w:hAnsi="Arial" w:cs="Arial"/>
          <w:b/>
          <w:u w:val="single"/>
        </w:rPr>
        <w:t>Chemicals</w:t>
      </w:r>
    </w:p>
    <w:p w:rsidR="00107985" w:rsidRPr="00290BEF" w:rsidRDefault="00107985" w:rsidP="009931FA">
      <w:pPr>
        <w:pStyle w:val="ListParagraph"/>
        <w:tabs>
          <w:tab w:val="left" w:pos="567"/>
          <w:tab w:val="left" w:pos="1134"/>
        </w:tabs>
        <w:jc w:val="both"/>
        <w:rPr>
          <w:rFonts w:ascii="Arial" w:hAnsi="Arial" w:cs="Arial"/>
        </w:rPr>
      </w:pPr>
      <w:r w:rsidRPr="00290BEF">
        <w:rPr>
          <w:rFonts w:ascii="Arial" w:hAnsi="Arial" w:cs="Arial"/>
        </w:rPr>
        <w:lastRenderedPageBreak/>
        <w:t xml:space="preserve">According to the basic provisions of the </w:t>
      </w:r>
      <w:r w:rsidRPr="00290BEF">
        <w:rPr>
          <w:rFonts w:ascii="Arial" w:hAnsi="Arial" w:cs="Arial"/>
          <w:b/>
          <w:u w:val="single"/>
        </w:rPr>
        <w:t>Chemicals legislation</w:t>
      </w:r>
      <w:r w:rsidRPr="00290BEF">
        <w:rPr>
          <w:rFonts w:ascii="Arial" w:hAnsi="Arial" w:cs="Arial"/>
        </w:rPr>
        <w:t xml:space="preserve"> and more specifically from </w:t>
      </w:r>
      <w:r w:rsidRPr="00615F13">
        <w:rPr>
          <w:rFonts w:ascii="Arial" w:hAnsi="Arial" w:cs="Arial"/>
          <w:b/>
          <w:u w:val="single"/>
        </w:rPr>
        <w:t>European Regulations 1907/2006 (REACH Regulation) and 1272/2008 (CLP Regulation)</w:t>
      </w:r>
      <w:r w:rsidRPr="00290BEF">
        <w:rPr>
          <w:rFonts w:ascii="Arial" w:hAnsi="Arial" w:cs="Arial"/>
        </w:rPr>
        <w:t xml:space="preserve"> the following obligations are imposed:</w:t>
      </w:r>
    </w:p>
    <w:p w:rsidR="00107985" w:rsidRPr="00615F13" w:rsidRDefault="00107985" w:rsidP="009931FA">
      <w:pPr>
        <w:pStyle w:val="NormalWeb"/>
        <w:numPr>
          <w:ilvl w:val="0"/>
          <w:numId w:val="9"/>
        </w:numPr>
        <w:ind w:firstLine="0"/>
        <w:jc w:val="both"/>
        <w:rPr>
          <w:rFonts w:ascii="Arial" w:hAnsi="Arial" w:cs="Arial"/>
          <w:bCs/>
          <w:lang w:val="en-GB"/>
        </w:rPr>
      </w:pPr>
      <w:r w:rsidRPr="00615F13">
        <w:rPr>
          <w:rFonts w:ascii="Arial" w:hAnsi="Arial" w:cs="Arial"/>
          <w:b/>
          <w:bCs/>
          <w:lang w:val="en-GB"/>
        </w:rPr>
        <w:t>Registration</w:t>
      </w:r>
      <w:r w:rsidRPr="00290BEF">
        <w:rPr>
          <w:rFonts w:ascii="Arial" w:hAnsi="Arial" w:cs="Arial"/>
          <w:bCs/>
        </w:rPr>
        <w:t xml:space="preserve">: </w:t>
      </w:r>
      <w:r w:rsidRPr="00290BEF">
        <w:rPr>
          <w:rFonts w:ascii="Arial" w:hAnsi="Arial" w:cs="Arial"/>
          <w:lang w:val="en-GB"/>
        </w:rPr>
        <w:t xml:space="preserve">REACH requires manufacturers and importers of chemical substances of quantities equal or higher than 1 tonne/year to register these substances to the European Chemicals Agency (ECHA). The registration is done through the submission of a registration dossier which contains information on the physicochemical, health and environmental properties of their substances that can be used to </w:t>
      </w:r>
      <w:r w:rsidRPr="00615F13">
        <w:rPr>
          <w:rFonts w:ascii="Arial" w:hAnsi="Arial" w:cs="Arial"/>
          <w:lang w:val="en-GB"/>
        </w:rPr>
        <w:t>determine how these substances can be used safely.</w:t>
      </w:r>
    </w:p>
    <w:p w:rsidR="00107985" w:rsidRPr="00615F13" w:rsidRDefault="00107985" w:rsidP="009931FA">
      <w:pPr>
        <w:pStyle w:val="NormalWeb"/>
        <w:numPr>
          <w:ilvl w:val="0"/>
          <w:numId w:val="9"/>
        </w:numPr>
        <w:ind w:firstLine="0"/>
        <w:jc w:val="both"/>
        <w:rPr>
          <w:rFonts w:ascii="Arial" w:hAnsi="Arial" w:cs="Arial"/>
          <w:bCs/>
          <w:lang w:val="en-GB"/>
        </w:rPr>
      </w:pPr>
      <w:r w:rsidRPr="00615F13">
        <w:rPr>
          <w:rFonts w:ascii="Arial" w:hAnsi="Arial" w:cs="Arial"/>
          <w:b/>
          <w:lang w:val="en-GB"/>
        </w:rPr>
        <w:t>Authorisation</w:t>
      </w:r>
      <w:r w:rsidRPr="00615F13">
        <w:rPr>
          <w:rFonts w:ascii="Arial" w:hAnsi="Arial" w:cs="Arial"/>
        </w:rPr>
        <w:t xml:space="preserve">: </w:t>
      </w:r>
      <w:r w:rsidRPr="00615F13">
        <w:rPr>
          <w:rFonts w:ascii="Arial" w:hAnsi="Arial" w:cs="Arial"/>
          <w:lang w:val="en-GB"/>
        </w:rPr>
        <w:t>Some chemicals characterised as Substances of Very High Concern are listed in Annex XIV o</w:t>
      </w:r>
      <w:r w:rsidR="00A975A5">
        <w:rPr>
          <w:rFonts w:ascii="Arial" w:hAnsi="Arial" w:cs="Arial"/>
          <w:lang w:val="en-GB"/>
        </w:rPr>
        <w:t>f</w:t>
      </w:r>
      <w:r w:rsidRPr="00615F13">
        <w:rPr>
          <w:rFonts w:ascii="Arial" w:hAnsi="Arial" w:cs="Arial"/>
          <w:lang w:val="en-GB"/>
        </w:rPr>
        <w:t xml:space="preserve"> REACH and can not be used unless an authorisation application has been submitted to ECHA. Companies applying for authorisation will have to demonstrate that risks associated with the uses of these substances are adequately controlled or that the socio-economic benefits from their use outweigh the risks. Applicants will also have to investigate the possibility of substituting these substances with safer alternatives or technologies, and prepare substitution plans, if appropriate.</w:t>
      </w:r>
    </w:p>
    <w:p w:rsidR="00107985" w:rsidRPr="00615F13" w:rsidRDefault="00107985" w:rsidP="009931FA">
      <w:pPr>
        <w:pStyle w:val="NormalWeb"/>
        <w:numPr>
          <w:ilvl w:val="0"/>
          <w:numId w:val="9"/>
        </w:numPr>
        <w:ind w:firstLine="0"/>
        <w:jc w:val="both"/>
        <w:rPr>
          <w:rFonts w:ascii="Arial" w:hAnsi="Arial" w:cs="Arial"/>
          <w:bCs/>
          <w:lang w:val="en-GB"/>
        </w:rPr>
      </w:pPr>
      <w:r w:rsidRPr="00615F13">
        <w:rPr>
          <w:rFonts w:ascii="Arial" w:hAnsi="Arial" w:cs="Arial"/>
          <w:b/>
          <w:lang w:val="en-GB"/>
        </w:rPr>
        <w:t>Restrictions</w:t>
      </w:r>
      <w:r w:rsidRPr="00615F13">
        <w:rPr>
          <w:rFonts w:ascii="Arial" w:hAnsi="Arial" w:cs="Arial"/>
          <w:lang w:val="en-GB"/>
        </w:rPr>
        <w:t>: REACH imposes restrictions and prohibits or sets conditions for the manufacture, placing on the market or use of certain dangerous substances when unacceptable risks to humans or the environment have been identified.</w:t>
      </w:r>
    </w:p>
    <w:p w:rsidR="00107985" w:rsidRPr="00290BEF" w:rsidRDefault="00107985" w:rsidP="009931FA">
      <w:pPr>
        <w:pStyle w:val="NormalWeb"/>
        <w:numPr>
          <w:ilvl w:val="0"/>
          <w:numId w:val="9"/>
        </w:numPr>
        <w:ind w:firstLine="0"/>
        <w:jc w:val="both"/>
        <w:rPr>
          <w:rFonts w:ascii="Arial" w:hAnsi="Arial" w:cs="Arial"/>
          <w:bCs/>
          <w:lang w:val="en-GB"/>
        </w:rPr>
      </w:pPr>
      <w:r w:rsidRPr="00615F13">
        <w:rPr>
          <w:rFonts w:ascii="Arial" w:hAnsi="Arial" w:cs="Arial"/>
          <w:b/>
          <w:bCs/>
          <w:lang w:val="en-GB"/>
        </w:rPr>
        <w:t>Communication in the supply chain</w:t>
      </w:r>
      <w:r w:rsidRPr="00290BEF">
        <w:rPr>
          <w:rFonts w:ascii="Arial" w:hAnsi="Arial" w:cs="Arial"/>
          <w:bCs/>
          <w:lang w:val="en-GB"/>
        </w:rPr>
        <w:t xml:space="preserve">: Suppliers of substances must pass on information on the health, safety and environmental properties and safe use of their chemicals to their downstream users (via the Safety Data Sheet </w:t>
      </w:r>
      <w:r w:rsidR="00A975A5">
        <w:rPr>
          <w:rFonts w:ascii="Arial" w:hAnsi="Arial" w:cs="Arial"/>
          <w:bCs/>
          <w:lang w:val="en-GB"/>
        </w:rPr>
        <w:t>(SDS)</w:t>
      </w:r>
      <w:r w:rsidRPr="00290BEF">
        <w:rPr>
          <w:rFonts w:ascii="Arial" w:hAnsi="Arial" w:cs="Arial"/>
          <w:bCs/>
          <w:lang w:val="en-GB"/>
        </w:rPr>
        <w:t xml:space="preserve"> proper labelling of the chemical products).  For Cyprus, SDSs and labelling of chemicals should be in Greek, unless a special exemption is granted</w:t>
      </w:r>
      <w:r w:rsidR="00A975A5">
        <w:rPr>
          <w:rFonts w:ascii="Arial" w:hAnsi="Arial" w:cs="Arial"/>
          <w:bCs/>
          <w:lang w:val="en-GB"/>
        </w:rPr>
        <w:t xml:space="preserve"> by DLI</w:t>
      </w:r>
      <w:r w:rsidRPr="00290BEF">
        <w:rPr>
          <w:rFonts w:ascii="Arial" w:hAnsi="Arial" w:cs="Arial"/>
          <w:bCs/>
          <w:lang w:val="en-GB"/>
        </w:rPr>
        <w:t>.</w:t>
      </w:r>
    </w:p>
    <w:p w:rsidR="00107985" w:rsidRDefault="00107985" w:rsidP="009931FA">
      <w:pPr>
        <w:pStyle w:val="NormalWeb"/>
        <w:ind w:left="720" w:hanging="360"/>
        <w:jc w:val="both"/>
        <w:rPr>
          <w:rFonts w:ascii="Arial" w:hAnsi="Arial" w:cs="Arial"/>
          <w:bCs/>
          <w:lang w:val="en-GB"/>
        </w:rPr>
      </w:pPr>
    </w:p>
    <w:p w:rsidR="00A975A5" w:rsidRPr="00A975A5" w:rsidRDefault="00A975A5" w:rsidP="009931FA">
      <w:pPr>
        <w:pStyle w:val="NormalWeb"/>
        <w:ind w:left="720" w:hanging="360"/>
        <w:jc w:val="both"/>
        <w:rPr>
          <w:rFonts w:ascii="Arial" w:hAnsi="Arial" w:cs="Arial"/>
          <w:b/>
          <w:bCs/>
          <w:lang w:val="en-GB"/>
        </w:rPr>
      </w:pPr>
      <w:r w:rsidRPr="00A975A5">
        <w:rPr>
          <w:rFonts w:ascii="Arial" w:hAnsi="Arial" w:cs="Arial"/>
          <w:b/>
          <w:bCs/>
          <w:lang w:val="en-GB"/>
        </w:rPr>
        <w:t xml:space="preserve">6. </w:t>
      </w:r>
      <w:r w:rsidRPr="00A975A5">
        <w:rPr>
          <w:rFonts w:ascii="Arial" w:hAnsi="Arial" w:cs="Arial"/>
          <w:b/>
          <w:bCs/>
          <w:u w:val="single"/>
          <w:lang w:val="en-GB"/>
        </w:rPr>
        <w:t>Pressure Equipment</w:t>
      </w:r>
    </w:p>
    <w:p w:rsidR="00107985" w:rsidRPr="00290BEF" w:rsidRDefault="00107985" w:rsidP="009931FA">
      <w:pPr>
        <w:pStyle w:val="NormalWeb"/>
        <w:ind w:left="720"/>
        <w:jc w:val="both"/>
        <w:rPr>
          <w:rFonts w:ascii="Arial" w:hAnsi="Arial" w:cs="Arial"/>
          <w:bCs/>
          <w:lang w:val="en-GB"/>
        </w:rPr>
      </w:pPr>
      <w:r w:rsidRPr="00290BEF">
        <w:rPr>
          <w:rFonts w:ascii="Arial" w:hAnsi="Arial" w:cs="Arial"/>
          <w:lang w:val="en-GB"/>
        </w:rPr>
        <w:t>T</w:t>
      </w:r>
      <w:r w:rsidRPr="00290BEF">
        <w:rPr>
          <w:rFonts w:ascii="Arial" w:hAnsi="Arial" w:cs="Arial"/>
        </w:rPr>
        <w:t xml:space="preserve">he provisions of the </w:t>
      </w:r>
      <w:r w:rsidRPr="00290BEF">
        <w:rPr>
          <w:rFonts w:ascii="Arial" w:hAnsi="Arial" w:cs="Arial"/>
          <w:b/>
          <w:u w:val="single"/>
        </w:rPr>
        <w:t xml:space="preserve">Essential Requirements (Pressure Equipment) </w:t>
      </w:r>
      <w:r w:rsidRPr="00615F13">
        <w:rPr>
          <w:rFonts w:ascii="Arial" w:hAnsi="Arial" w:cs="Arial"/>
          <w:b/>
          <w:u w:val="single"/>
        </w:rPr>
        <w:t>Regulations of 2003 (P.I. 311/2003)</w:t>
      </w:r>
      <w:r w:rsidRPr="00290BEF">
        <w:rPr>
          <w:rFonts w:ascii="Arial" w:hAnsi="Arial" w:cs="Arial"/>
        </w:rPr>
        <w:t xml:space="preserve"> which </w:t>
      </w:r>
      <w:proofErr w:type="spellStart"/>
      <w:r w:rsidRPr="00290BEF">
        <w:rPr>
          <w:rFonts w:ascii="Arial" w:hAnsi="Arial" w:cs="Arial"/>
        </w:rPr>
        <w:t>harmonise</w:t>
      </w:r>
      <w:proofErr w:type="spellEnd"/>
      <w:r w:rsidRPr="00290BEF">
        <w:rPr>
          <w:rFonts w:ascii="Arial" w:hAnsi="Arial" w:cs="Arial"/>
        </w:rPr>
        <w:t xml:space="preserve"> the Pressure Equipment Directive 97/23/EC apply to new equipment to be used with a PS above 0</w:t>
      </w:r>
      <w:proofErr w:type="gramStart"/>
      <w:r w:rsidRPr="00290BEF">
        <w:rPr>
          <w:rFonts w:ascii="Arial" w:hAnsi="Arial" w:cs="Arial"/>
        </w:rPr>
        <w:t>,5</w:t>
      </w:r>
      <w:proofErr w:type="gramEnd"/>
      <w:r w:rsidRPr="00290BEF">
        <w:rPr>
          <w:rFonts w:ascii="Arial" w:hAnsi="Arial" w:cs="Arial"/>
        </w:rPr>
        <w:t xml:space="preserve"> bar</w:t>
      </w:r>
      <w:r>
        <w:rPr>
          <w:rFonts w:ascii="Arial" w:hAnsi="Arial" w:cs="Arial"/>
        </w:rPr>
        <w:t>.</w:t>
      </w:r>
    </w:p>
    <w:p w:rsidR="00A975A5" w:rsidRPr="009931FA" w:rsidRDefault="009931FA" w:rsidP="009931FA">
      <w:pPr>
        <w:pStyle w:val="NormalWeb"/>
        <w:jc w:val="both"/>
        <w:rPr>
          <w:rFonts w:ascii="Arial" w:hAnsi="Arial" w:cs="Arial"/>
          <w:b/>
          <w:bCs/>
          <w:lang w:val="en-GB"/>
        </w:rPr>
      </w:pPr>
      <w:r w:rsidRPr="009931FA">
        <w:rPr>
          <w:rFonts w:ascii="Arial" w:hAnsi="Arial" w:cs="Arial"/>
          <w:b/>
          <w:bCs/>
          <w:lang w:val="en-GB"/>
        </w:rPr>
        <w:t xml:space="preserve">7. </w:t>
      </w:r>
      <w:r w:rsidRPr="009931FA">
        <w:rPr>
          <w:rFonts w:ascii="Arial" w:hAnsi="Arial" w:cs="Arial"/>
          <w:b/>
          <w:bCs/>
          <w:u w:val="single"/>
          <w:lang w:val="en-GB"/>
        </w:rPr>
        <w:t>Explosive Equipment</w:t>
      </w:r>
    </w:p>
    <w:p w:rsidR="00107985" w:rsidRPr="00290BEF" w:rsidRDefault="00107985" w:rsidP="009931FA">
      <w:pPr>
        <w:pStyle w:val="NormalWeb"/>
        <w:ind w:left="720"/>
        <w:jc w:val="both"/>
        <w:rPr>
          <w:rFonts w:ascii="Arial" w:hAnsi="Arial" w:cs="Arial"/>
          <w:bCs/>
          <w:lang w:val="en-GB"/>
        </w:rPr>
      </w:pPr>
      <w:r w:rsidRPr="00290BEF">
        <w:rPr>
          <w:rFonts w:ascii="Arial" w:hAnsi="Arial" w:cs="Arial"/>
        </w:rPr>
        <w:t xml:space="preserve">According to the </w:t>
      </w:r>
      <w:r w:rsidRPr="00290BEF">
        <w:rPr>
          <w:rFonts w:ascii="Arial" w:hAnsi="Arial" w:cs="Arial"/>
          <w:lang w:val="en-GB"/>
        </w:rPr>
        <w:t>provisions of the</w:t>
      </w:r>
      <w:r w:rsidRPr="00290BEF">
        <w:rPr>
          <w:rFonts w:ascii="Arial" w:hAnsi="Arial" w:cs="Arial"/>
        </w:rPr>
        <w:t xml:space="preserve"> Essential Requirements of the of </w:t>
      </w:r>
      <w:proofErr w:type="gramStart"/>
      <w:r w:rsidRPr="00290BEF">
        <w:rPr>
          <w:rFonts w:ascii="Arial" w:hAnsi="Arial" w:cs="Arial"/>
        </w:rPr>
        <w:t>the(</w:t>
      </w:r>
      <w:proofErr w:type="gramEnd"/>
      <w:r w:rsidRPr="00290BEF">
        <w:rPr>
          <w:rFonts w:ascii="Arial" w:hAnsi="Arial" w:cs="Arial"/>
          <w:b/>
          <w:u w:val="single"/>
        </w:rPr>
        <w:t>Equipment and Protective Systems to be Used in Explosive Atmospheres) Regulations</w:t>
      </w:r>
      <w:r w:rsidRPr="00290BEF">
        <w:rPr>
          <w:rFonts w:ascii="Arial" w:hAnsi="Arial" w:cs="Arial"/>
        </w:rPr>
        <w:t xml:space="preserve"> of 2003 (P.I. 309/2003) (ATEX Directive 94/9/EC) should be satisfied for equipment and protective systems to be used in potentially explosive atmospheres</w:t>
      </w:r>
    </w:p>
    <w:p w:rsidR="00107985" w:rsidRDefault="00107985" w:rsidP="009931FA">
      <w:pPr>
        <w:pStyle w:val="NormalWeb"/>
        <w:ind w:left="720"/>
        <w:jc w:val="both"/>
        <w:rPr>
          <w:rFonts w:ascii="Arial" w:hAnsi="Arial" w:cs="Arial"/>
          <w:bCs/>
          <w:lang w:val="en-GB"/>
        </w:rPr>
      </w:pPr>
    </w:p>
    <w:p w:rsidR="009931FA" w:rsidRPr="009931FA" w:rsidRDefault="009931FA" w:rsidP="009931FA">
      <w:pPr>
        <w:pStyle w:val="NormalWeb"/>
        <w:jc w:val="both"/>
        <w:rPr>
          <w:rFonts w:ascii="Arial" w:hAnsi="Arial" w:cs="Arial"/>
          <w:b/>
          <w:bCs/>
          <w:lang w:val="en-GB"/>
        </w:rPr>
      </w:pPr>
      <w:r w:rsidRPr="009931FA">
        <w:rPr>
          <w:rFonts w:ascii="Arial" w:hAnsi="Arial" w:cs="Arial"/>
          <w:b/>
          <w:bCs/>
          <w:lang w:val="en-GB"/>
        </w:rPr>
        <w:t xml:space="preserve">8. </w:t>
      </w:r>
      <w:r w:rsidRPr="009931FA">
        <w:rPr>
          <w:rFonts w:ascii="Arial" w:hAnsi="Arial" w:cs="Arial"/>
          <w:b/>
          <w:bCs/>
          <w:u w:val="single"/>
          <w:lang w:val="en-GB"/>
        </w:rPr>
        <w:t>Personal Protective Equipment</w:t>
      </w:r>
    </w:p>
    <w:p w:rsidR="00107985" w:rsidRPr="00290BEF" w:rsidRDefault="00107985" w:rsidP="009931FA">
      <w:pPr>
        <w:ind w:left="720" w:right="331"/>
        <w:jc w:val="both"/>
        <w:rPr>
          <w:rFonts w:ascii="Arial" w:hAnsi="Arial" w:cs="Arial"/>
        </w:rPr>
      </w:pPr>
      <w:r w:rsidRPr="00290BEF">
        <w:rPr>
          <w:rFonts w:ascii="Arial" w:hAnsi="Arial" w:cs="Arial"/>
        </w:rPr>
        <w:t xml:space="preserve">Personal Protective Equipment, Machinery and Work Equipment supplied to the workers must bear the </w:t>
      </w:r>
      <w:r w:rsidRPr="00290BEF">
        <w:rPr>
          <w:rFonts w:ascii="Arial" w:hAnsi="Arial" w:cs="Arial"/>
          <w:b/>
          <w:u w:val="single"/>
        </w:rPr>
        <w:t>CE mark.</w:t>
      </w:r>
    </w:p>
    <w:p w:rsidR="00107985" w:rsidRDefault="00107985" w:rsidP="009931FA">
      <w:pPr>
        <w:ind w:left="720" w:right="331"/>
        <w:jc w:val="both"/>
        <w:rPr>
          <w:rFonts w:ascii="Arial" w:hAnsi="Arial" w:cs="Arial"/>
        </w:rPr>
      </w:pPr>
    </w:p>
    <w:p w:rsidR="009931FA" w:rsidRPr="009931FA" w:rsidRDefault="009931FA" w:rsidP="009931FA">
      <w:pPr>
        <w:ind w:right="331"/>
        <w:jc w:val="both"/>
        <w:rPr>
          <w:rFonts w:ascii="Arial" w:hAnsi="Arial" w:cs="Arial"/>
          <w:b/>
        </w:rPr>
      </w:pPr>
      <w:r w:rsidRPr="009931FA">
        <w:rPr>
          <w:rFonts w:ascii="Arial" w:hAnsi="Arial" w:cs="Arial"/>
          <w:b/>
        </w:rPr>
        <w:t xml:space="preserve">9. </w:t>
      </w:r>
      <w:r w:rsidRPr="009931FA">
        <w:rPr>
          <w:rFonts w:ascii="Arial" w:hAnsi="Arial" w:cs="Arial"/>
          <w:b/>
          <w:u w:val="single"/>
        </w:rPr>
        <w:t>Machinery</w:t>
      </w:r>
    </w:p>
    <w:p w:rsidR="00107985" w:rsidRPr="00290BEF" w:rsidRDefault="00107985" w:rsidP="009931FA">
      <w:pPr>
        <w:ind w:left="720" w:right="331"/>
        <w:jc w:val="both"/>
        <w:rPr>
          <w:rFonts w:ascii="Arial" w:hAnsi="Arial" w:cs="Arial"/>
        </w:rPr>
      </w:pPr>
      <w:r w:rsidRPr="00290BEF">
        <w:rPr>
          <w:rFonts w:ascii="Arial" w:hAnsi="Arial" w:cs="Arial"/>
        </w:rPr>
        <w:t xml:space="preserve">According to the provisions of the </w:t>
      </w:r>
      <w:r w:rsidRPr="00290BEF">
        <w:rPr>
          <w:rFonts w:ascii="Arial" w:hAnsi="Arial" w:cs="Arial"/>
          <w:b/>
          <w:u w:val="single"/>
        </w:rPr>
        <w:t>Essential Requirements (Machinery) Regulations of 2003 (P.I. 428/2008)</w:t>
      </w:r>
      <w:r w:rsidRPr="00290BEF">
        <w:rPr>
          <w:rFonts w:ascii="Arial" w:hAnsi="Arial" w:cs="Arial"/>
        </w:rPr>
        <w:t xml:space="preserve"> new cranes must satisfy and bear the CE mark. In case of an import of a crane (new or used) it is advised that TOTAL shall, in advance, contact the </w:t>
      </w:r>
      <w:r>
        <w:rPr>
          <w:rFonts w:ascii="Arial" w:hAnsi="Arial" w:cs="Arial"/>
        </w:rPr>
        <w:t>DLI</w:t>
      </w:r>
      <w:r w:rsidRPr="00290BEF">
        <w:rPr>
          <w:rFonts w:ascii="Arial" w:hAnsi="Arial" w:cs="Arial"/>
        </w:rPr>
        <w:t xml:space="preserve"> for guidance. The Department may impose preconditions on a case by case basis. All cranes are subject to periodic inspection at least once every 14 months under the provisions of article 35 of the Factories Law. </w:t>
      </w:r>
    </w:p>
    <w:p w:rsidR="00107985" w:rsidRDefault="00107985" w:rsidP="009931FA">
      <w:pPr>
        <w:pStyle w:val="ListParagraph"/>
        <w:rPr>
          <w:rFonts w:ascii="Arial" w:hAnsi="Arial" w:cs="Arial"/>
        </w:rPr>
      </w:pPr>
    </w:p>
    <w:p w:rsidR="009931FA" w:rsidRPr="009931FA" w:rsidRDefault="009931FA" w:rsidP="009931FA">
      <w:pPr>
        <w:pStyle w:val="ListParagraph"/>
        <w:ind w:left="0"/>
        <w:rPr>
          <w:rFonts w:ascii="Arial" w:hAnsi="Arial" w:cs="Arial"/>
          <w:b/>
        </w:rPr>
      </w:pPr>
      <w:r w:rsidRPr="009931FA">
        <w:rPr>
          <w:rFonts w:ascii="Arial" w:hAnsi="Arial" w:cs="Arial"/>
          <w:b/>
        </w:rPr>
        <w:t xml:space="preserve">10. </w:t>
      </w:r>
      <w:r w:rsidRPr="009931FA">
        <w:rPr>
          <w:rFonts w:ascii="Arial" w:hAnsi="Arial" w:cs="Arial"/>
          <w:b/>
          <w:u w:val="single"/>
        </w:rPr>
        <w:t>Lifts</w:t>
      </w:r>
    </w:p>
    <w:p w:rsidR="00107985" w:rsidRPr="00290BEF" w:rsidRDefault="00107985" w:rsidP="009931FA">
      <w:pPr>
        <w:ind w:left="720" w:right="331"/>
        <w:jc w:val="both"/>
        <w:rPr>
          <w:rFonts w:ascii="Arial" w:hAnsi="Arial" w:cs="Arial"/>
        </w:rPr>
      </w:pPr>
      <w:r w:rsidRPr="00290BEF">
        <w:rPr>
          <w:rFonts w:ascii="Arial" w:hAnsi="Arial" w:cs="Arial"/>
        </w:rPr>
        <w:t xml:space="preserve">The provisions of the </w:t>
      </w:r>
      <w:r w:rsidRPr="00290BEF">
        <w:rPr>
          <w:rFonts w:ascii="Arial" w:hAnsi="Arial" w:cs="Arial"/>
          <w:b/>
          <w:u w:val="single"/>
        </w:rPr>
        <w:t xml:space="preserve">Essential Requirements (Lifts) Regulations of 2003 </w:t>
      </w:r>
      <w:r w:rsidRPr="004F74A8">
        <w:rPr>
          <w:rFonts w:ascii="Arial" w:hAnsi="Arial" w:cs="Arial"/>
          <w:b/>
          <w:u w:val="single"/>
        </w:rPr>
        <w:t>and 2008 (P.I. 310/2003 and P.I. 429/2008)</w:t>
      </w:r>
      <w:r w:rsidRPr="00290BEF">
        <w:rPr>
          <w:rFonts w:ascii="Arial" w:hAnsi="Arial" w:cs="Arial"/>
        </w:rPr>
        <w:t xml:space="preserve"> apply to new lifts. All lifts in operation must undergo periodic maintenance and periodic audit in accordance with the </w:t>
      </w:r>
      <w:r w:rsidRPr="004F74A8">
        <w:rPr>
          <w:rFonts w:ascii="Arial" w:hAnsi="Arial" w:cs="Arial"/>
          <w:b/>
          <w:u w:val="single"/>
        </w:rPr>
        <w:t xml:space="preserve">Safety and Health at Work (Operation Maintenance and Audit of Lifts) Regulations of </w:t>
      </w:r>
      <w:r w:rsidRPr="004F74A8">
        <w:rPr>
          <w:rFonts w:ascii="Arial" w:hAnsi="Arial" w:cs="Arial"/>
          <w:b/>
          <w:u w:val="single"/>
        </w:rPr>
        <w:lastRenderedPageBreak/>
        <w:t>2010 (P.I. 533/2010)</w:t>
      </w:r>
      <w:r w:rsidRPr="00290BEF">
        <w:rPr>
          <w:rFonts w:ascii="Arial" w:hAnsi="Arial" w:cs="Arial"/>
        </w:rPr>
        <w:t xml:space="preserve">. </w:t>
      </w:r>
      <w:proofErr w:type="gramStart"/>
      <w:r w:rsidRPr="00290BEF">
        <w:rPr>
          <w:rFonts w:ascii="Arial" w:hAnsi="Arial" w:cs="Arial"/>
        </w:rPr>
        <w:t>the</w:t>
      </w:r>
      <w:proofErr w:type="gramEnd"/>
      <w:r w:rsidRPr="00290BEF">
        <w:rPr>
          <w:rFonts w:ascii="Arial" w:hAnsi="Arial" w:cs="Arial"/>
        </w:rPr>
        <w:t xml:space="preserve"> maintenance and audit of lift is done by Lift Maintenance Persons and </w:t>
      </w:r>
      <w:proofErr w:type="spellStart"/>
      <w:r w:rsidRPr="00290BEF">
        <w:rPr>
          <w:rFonts w:ascii="Arial" w:hAnsi="Arial" w:cs="Arial"/>
        </w:rPr>
        <w:t>Authori</w:t>
      </w:r>
      <w:r>
        <w:rPr>
          <w:rFonts w:ascii="Arial" w:hAnsi="Arial" w:cs="Arial"/>
        </w:rPr>
        <w:t>s</w:t>
      </w:r>
      <w:r w:rsidRPr="00290BEF">
        <w:rPr>
          <w:rFonts w:ascii="Arial" w:hAnsi="Arial" w:cs="Arial"/>
        </w:rPr>
        <w:t>ed</w:t>
      </w:r>
      <w:proofErr w:type="spellEnd"/>
      <w:r w:rsidRPr="00290BEF">
        <w:rPr>
          <w:rFonts w:ascii="Arial" w:hAnsi="Arial" w:cs="Arial"/>
        </w:rPr>
        <w:t xml:space="preserve"> Lift Auditors, which are approved by the </w:t>
      </w:r>
      <w:r>
        <w:rPr>
          <w:rFonts w:ascii="Arial" w:hAnsi="Arial" w:cs="Arial"/>
        </w:rPr>
        <w:t>DLI</w:t>
      </w:r>
      <w:r w:rsidRPr="00290BEF">
        <w:rPr>
          <w:rFonts w:ascii="Arial" w:hAnsi="Arial" w:cs="Arial"/>
        </w:rPr>
        <w:t>.</w:t>
      </w:r>
    </w:p>
    <w:p w:rsidR="00107985" w:rsidRDefault="00107985" w:rsidP="009931FA">
      <w:pPr>
        <w:ind w:left="720" w:right="331"/>
        <w:jc w:val="both"/>
        <w:rPr>
          <w:rFonts w:ascii="Arial" w:hAnsi="Arial" w:cs="Arial"/>
        </w:rPr>
      </w:pPr>
    </w:p>
    <w:p w:rsidR="009931FA" w:rsidRPr="009931FA" w:rsidRDefault="009931FA" w:rsidP="009931FA">
      <w:pPr>
        <w:ind w:right="331"/>
        <w:jc w:val="both"/>
        <w:rPr>
          <w:rFonts w:ascii="Arial" w:hAnsi="Arial" w:cs="Arial"/>
          <w:b/>
        </w:rPr>
      </w:pPr>
      <w:r w:rsidRPr="009931FA">
        <w:rPr>
          <w:rFonts w:ascii="Arial" w:hAnsi="Arial" w:cs="Arial"/>
          <w:b/>
        </w:rPr>
        <w:t xml:space="preserve">11. </w:t>
      </w:r>
      <w:r w:rsidRPr="009931FA">
        <w:rPr>
          <w:rFonts w:ascii="Arial" w:hAnsi="Arial" w:cs="Arial"/>
          <w:b/>
          <w:u w:val="single"/>
        </w:rPr>
        <w:t>Petroleum Safety</w:t>
      </w:r>
    </w:p>
    <w:p w:rsidR="00107985" w:rsidRDefault="00107985" w:rsidP="009931FA">
      <w:pPr>
        <w:ind w:left="720" w:right="331"/>
        <w:jc w:val="both"/>
        <w:rPr>
          <w:rFonts w:ascii="Arial" w:hAnsi="Arial" w:cs="Arial"/>
        </w:rPr>
      </w:pPr>
      <w:r w:rsidRPr="00290BEF">
        <w:rPr>
          <w:rFonts w:ascii="Arial" w:hAnsi="Arial" w:cs="Arial"/>
        </w:rPr>
        <w:t xml:space="preserve">According to the provisions of the </w:t>
      </w:r>
      <w:r w:rsidRPr="00290BEF">
        <w:rPr>
          <w:rFonts w:ascii="Arial" w:hAnsi="Arial" w:cs="Arial"/>
          <w:b/>
          <w:u w:val="single"/>
        </w:rPr>
        <w:t xml:space="preserve">Petroleum </w:t>
      </w:r>
      <w:proofErr w:type="gramStart"/>
      <w:r w:rsidRPr="00290BEF">
        <w:rPr>
          <w:rFonts w:ascii="Arial" w:hAnsi="Arial" w:cs="Arial"/>
          <w:b/>
          <w:u w:val="single"/>
        </w:rPr>
        <w:t xml:space="preserve">legislation </w:t>
      </w:r>
      <w:r w:rsidRPr="00290BEF">
        <w:rPr>
          <w:rFonts w:ascii="Arial" w:hAnsi="Arial" w:cs="Arial"/>
        </w:rPr>
        <w:t xml:space="preserve"> in</w:t>
      </w:r>
      <w:proofErr w:type="gramEnd"/>
      <w:r w:rsidRPr="00290BEF">
        <w:rPr>
          <w:rFonts w:ascii="Arial" w:hAnsi="Arial" w:cs="Arial"/>
        </w:rPr>
        <w:t xml:space="preserve"> case of LPG storage in vessels or cylinders of capacity equal to 450 liters and above, a License is required. An Application is submitted to the </w:t>
      </w:r>
      <w:r>
        <w:rPr>
          <w:rFonts w:ascii="Arial" w:hAnsi="Arial" w:cs="Arial"/>
        </w:rPr>
        <w:t>DLI</w:t>
      </w:r>
      <w:r w:rsidRPr="00290BEF">
        <w:rPr>
          <w:rFonts w:ascii="Arial" w:hAnsi="Arial" w:cs="Arial"/>
        </w:rPr>
        <w:t xml:space="preserve"> prior to the storage with all the necessary supportive documents. </w:t>
      </w:r>
    </w:p>
    <w:p w:rsidR="00107985" w:rsidRDefault="00107985" w:rsidP="009931FA">
      <w:pPr>
        <w:pStyle w:val="ListParagraph"/>
        <w:rPr>
          <w:rFonts w:ascii="Arial" w:hAnsi="Arial" w:cs="Arial"/>
        </w:rPr>
      </w:pPr>
    </w:p>
    <w:p w:rsidR="00107985" w:rsidRDefault="009931FA" w:rsidP="009931FA">
      <w:pPr>
        <w:ind w:left="426" w:right="331" w:hanging="426"/>
        <w:jc w:val="both"/>
        <w:rPr>
          <w:rFonts w:ascii="Arial" w:hAnsi="Arial" w:cs="Arial"/>
        </w:rPr>
      </w:pPr>
      <w:r>
        <w:rPr>
          <w:rFonts w:ascii="Arial" w:hAnsi="Arial" w:cs="Arial"/>
        </w:rPr>
        <w:t xml:space="preserve">12. </w:t>
      </w:r>
      <w:r w:rsidR="00107985" w:rsidRPr="00290BEF">
        <w:rPr>
          <w:rFonts w:ascii="Arial" w:hAnsi="Arial" w:cs="Arial"/>
        </w:rPr>
        <w:t xml:space="preserve">According to the provisions of the </w:t>
      </w:r>
      <w:r w:rsidR="00107985" w:rsidRPr="004F74A8">
        <w:rPr>
          <w:rFonts w:ascii="Arial" w:hAnsi="Arial" w:cs="Arial"/>
          <w:b/>
          <w:u w:val="single"/>
        </w:rPr>
        <w:t>Protection from Ionizing Radiation and Nuclear Safety Laws of 2002 to 2011</w:t>
      </w:r>
      <w:r w:rsidR="00107985">
        <w:rPr>
          <w:rFonts w:ascii="Arial" w:hAnsi="Arial" w:cs="Arial"/>
        </w:rPr>
        <w:t xml:space="preserve">. The import, export, </w:t>
      </w:r>
      <w:r w:rsidR="00107985" w:rsidRPr="00290BEF">
        <w:rPr>
          <w:rFonts w:ascii="Arial" w:hAnsi="Arial" w:cs="Arial"/>
        </w:rPr>
        <w:t xml:space="preserve">transport, storage, use etc. of radioactive sources and the related practices </w:t>
      </w:r>
      <w:r w:rsidR="00107985" w:rsidRPr="00DB0054">
        <w:rPr>
          <w:rFonts w:ascii="Arial" w:hAnsi="Arial" w:cs="Arial"/>
        </w:rPr>
        <w:t xml:space="preserve">need to be licensed in advance. </w:t>
      </w:r>
      <w:r w:rsidR="00107985" w:rsidRPr="00290BEF">
        <w:rPr>
          <w:rFonts w:ascii="Arial" w:hAnsi="Arial" w:cs="Arial"/>
        </w:rPr>
        <w:t xml:space="preserve">Under these laws there is also </w:t>
      </w:r>
      <w:r>
        <w:rPr>
          <w:rFonts w:ascii="Arial" w:hAnsi="Arial" w:cs="Arial"/>
        </w:rPr>
        <w:t xml:space="preserve">on </w:t>
      </w:r>
      <w:r w:rsidR="00107985" w:rsidRPr="00290BEF">
        <w:rPr>
          <w:rFonts w:ascii="Arial" w:hAnsi="Arial" w:cs="Arial"/>
        </w:rPr>
        <w:t xml:space="preserve">obligation to monitor and control possible existence, production, disposal of or exposure to Naturally Occurring Radioactive Materials (NORMS). The license is granted under certain conditions by the Minister of Labour, Welfare and Social Insurance after application in writing. The Application should be submitted to the </w:t>
      </w:r>
      <w:r w:rsidR="00107985">
        <w:rPr>
          <w:rFonts w:ascii="Arial" w:hAnsi="Arial" w:cs="Arial"/>
        </w:rPr>
        <w:t>DLI</w:t>
      </w:r>
      <w:r w:rsidR="00107985" w:rsidRPr="00290BEF">
        <w:rPr>
          <w:rFonts w:ascii="Arial" w:hAnsi="Arial" w:cs="Arial"/>
        </w:rPr>
        <w:t xml:space="preserve"> (Radiation Inspection and Control Service).</w:t>
      </w:r>
    </w:p>
    <w:p w:rsidR="009931FA" w:rsidRDefault="009931FA" w:rsidP="009931FA">
      <w:pPr>
        <w:ind w:left="426" w:right="331" w:hanging="426"/>
        <w:jc w:val="both"/>
        <w:rPr>
          <w:rFonts w:ascii="Arial" w:hAnsi="Arial" w:cs="Arial"/>
        </w:rPr>
      </w:pPr>
    </w:p>
    <w:p w:rsidR="00852EAF" w:rsidRPr="00852EAF" w:rsidRDefault="00852EAF" w:rsidP="00852EAF">
      <w:pPr>
        <w:ind w:left="426" w:right="331" w:hanging="426"/>
        <w:jc w:val="both"/>
        <w:rPr>
          <w:rFonts w:ascii="Arial" w:hAnsi="Arial" w:cs="Arial"/>
        </w:rPr>
      </w:pPr>
    </w:p>
    <w:p w:rsidR="009931FA" w:rsidRPr="00615F13" w:rsidRDefault="009931FA" w:rsidP="005B574E">
      <w:pPr>
        <w:ind w:left="851"/>
        <w:rPr>
          <w:rFonts w:ascii="Arial" w:hAnsi="Arial" w:cs="Arial"/>
        </w:rPr>
      </w:pPr>
    </w:p>
    <w:sectPr w:rsidR="009931FA" w:rsidRPr="00615F13" w:rsidSect="005B574E">
      <w:footerReference w:type="default" r:id="rId9"/>
      <w:pgSz w:w="11907" w:h="16840" w:code="9"/>
      <w:pgMar w:top="851" w:right="851" w:bottom="567"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580" w:rsidRDefault="00E17580" w:rsidP="007F653A">
      <w:r>
        <w:separator/>
      </w:r>
    </w:p>
  </w:endnote>
  <w:endnote w:type="continuationSeparator" w:id="0">
    <w:p w:rsidR="00E17580" w:rsidRDefault="00E17580" w:rsidP="007F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FA" w:rsidRPr="007F653A" w:rsidRDefault="00E17580" w:rsidP="007F653A">
    <w:pPr>
      <w:pStyle w:val="Footer"/>
      <w:jc w:val="right"/>
      <w:rPr>
        <w:rFonts w:ascii="Arial" w:hAnsi="Arial" w:cs="Arial"/>
        <w:sz w:val="20"/>
        <w:szCs w:val="20"/>
      </w:rPr>
    </w:pPr>
    <w:r>
      <w:fldChar w:fldCharType="begin"/>
    </w:r>
    <w:r>
      <w:instrText xml:space="preserve"> FILENAME  \p  \* MERGEFORMAT </w:instrText>
    </w:r>
    <w:r>
      <w:fldChar w:fldCharType="separate"/>
    </w:r>
    <w:r w:rsidR="004947DD" w:rsidRPr="004947DD">
      <w:rPr>
        <w:rFonts w:ascii="Arial" w:hAnsi="Arial" w:cs="Arial"/>
        <w:noProof/>
        <w:sz w:val="20"/>
        <w:szCs w:val="20"/>
      </w:rPr>
      <w:t>Z:\TAY\ΚΥΧΒ\KP\offshore\Instructions to operators or new drilling owners.docx</w:t>
    </w:r>
    <w:r>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580" w:rsidRDefault="00E17580" w:rsidP="007F653A">
      <w:r>
        <w:separator/>
      </w:r>
    </w:p>
  </w:footnote>
  <w:footnote w:type="continuationSeparator" w:id="0">
    <w:p w:rsidR="00E17580" w:rsidRDefault="00E17580" w:rsidP="007F6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9A3"/>
    <w:multiLevelType w:val="hybridMultilevel"/>
    <w:tmpl w:val="A0845818"/>
    <w:lvl w:ilvl="0" w:tplc="0408000F">
      <w:start w:val="1"/>
      <w:numFmt w:val="decimal"/>
      <w:lvlText w:val="%1."/>
      <w:lvlJc w:val="left"/>
      <w:pPr>
        <w:ind w:left="720" w:hanging="360"/>
      </w:pPr>
      <w:rPr>
        <w:rFonts w:cs="Times New Roman"/>
      </w:rPr>
    </w:lvl>
    <w:lvl w:ilvl="1" w:tplc="A2D2C39C">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4492C9C"/>
    <w:multiLevelType w:val="hybridMultilevel"/>
    <w:tmpl w:val="8B8E424E"/>
    <w:lvl w:ilvl="0" w:tplc="F3E2CB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BA24E2"/>
    <w:multiLevelType w:val="hybridMultilevel"/>
    <w:tmpl w:val="531A76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61663AB"/>
    <w:multiLevelType w:val="multilevel"/>
    <w:tmpl w:val="011259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2160" w:hanging="180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4" w15:restartNumberingAfterBreak="0">
    <w:nsid w:val="26733DA3"/>
    <w:multiLevelType w:val="multilevel"/>
    <w:tmpl w:val="0112591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440" w:hanging="108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800" w:hanging="144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2160" w:hanging="180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15:restartNumberingAfterBreak="0">
    <w:nsid w:val="5B290321"/>
    <w:multiLevelType w:val="hybridMultilevel"/>
    <w:tmpl w:val="179E59DE"/>
    <w:lvl w:ilvl="0" w:tplc="C0B2E2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4FD70E2"/>
    <w:multiLevelType w:val="hybridMultilevel"/>
    <w:tmpl w:val="DF764AAC"/>
    <w:lvl w:ilvl="0" w:tplc="5876097A">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EF268A8"/>
    <w:multiLevelType w:val="hybridMultilevel"/>
    <w:tmpl w:val="9F1A387C"/>
    <w:lvl w:ilvl="0" w:tplc="2476080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7F4E284B"/>
    <w:multiLevelType w:val="hybridMultilevel"/>
    <w:tmpl w:val="FB604F1C"/>
    <w:lvl w:ilvl="0" w:tplc="F3E2CB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C3"/>
    <w:rsid w:val="00014E0B"/>
    <w:rsid w:val="0003286C"/>
    <w:rsid w:val="00053417"/>
    <w:rsid w:val="0005420A"/>
    <w:rsid w:val="00062257"/>
    <w:rsid w:val="00091EBC"/>
    <w:rsid w:val="000B397E"/>
    <w:rsid w:val="000B7F12"/>
    <w:rsid w:val="000C0BE2"/>
    <w:rsid w:val="000E70EB"/>
    <w:rsid w:val="00107985"/>
    <w:rsid w:val="00110FB3"/>
    <w:rsid w:val="0011461D"/>
    <w:rsid w:val="00120085"/>
    <w:rsid w:val="001604CC"/>
    <w:rsid w:val="001607EC"/>
    <w:rsid w:val="00165764"/>
    <w:rsid w:val="00167616"/>
    <w:rsid w:val="00175BE9"/>
    <w:rsid w:val="00180079"/>
    <w:rsid w:val="001A542F"/>
    <w:rsid w:val="001A54DB"/>
    <w:rsid w:val="001A6B47"/>
    <w:rsid w:val="001B589E"/>
    <w:rsid w:val="001C781F"/>
    <w:rsid w:val="001E3797"/>
    <w:rsid w:val="001E4E73"/>
    <w:rsid w:val="001E6817"/>
    <w:rsid w:val="0020611B"/>
    <w:rsid w:val="00234035"/>
    <w:rsid w:val="00241432"/>
    <w:rsid w:val="00257ABE"/>
    <w:rsid w:val="00265EC4"/>
    <w:rsid w:val="00290BEF"/>
    <w:rsid w:val="00290C46"/>
    <w:rsid w:val="002C31F6"/>
    <w:rsid w:val="002D065C"/>
    <w:rsid w:val="002D55A0"/>
    <w:rsid w:val="002E5C39"/>
    <w:rsid w:val="002F4B9F"/>
    <w:rsid w:val="002F565F"/>
    <w:rsid w:val="002F58B2"/>
    <w:rsid w:val="003200F9"/>
    <w:rsid w:val="00345789"/>
    <w:rsid w:val="00354E17"/>
    <w:rsid w:val="00381FF3"/>
    <w:rsid w:val="00391832"/>
    <w:rsid w:val="00391AFC"/>
    <w:rsid w:val="003C0572"/>
    <w:rsid w:val="003D58BB"/>
    <w:rsid w:val="003D7086"/>
    <w:rsid w:val="004036FF"/>
    <w:rsid w:val="00403D5C"/>
    <w:rsid w:val="00410C46"/>
    <w:rsid w:val="0043331E"/>
    <w:rsid w:val="0043421A"/>
    <w:rsid w:val="004516F4"/>
    <w:rsid w:val="004544E3"/>
    <w:rsid w:val="004576B4"/>
    <w:rsid w:val="004947DD"/>
    <w:rsid w:val="004C32A1"/>
    <w:rsid w:val="004D26AC"/>
    <w:rsid w:val="004D4947"/>
    <w:rsid w:val="004D5293"/>
    <w:rsid w:val="004D67A0"/>
    <w:rsid w:val="004E03AB"/>
    <w:rsid w:val="004F0302"/>
    <w:rsid w:val="004F5CE2"/>
    <w:rsid w:val="004F6854"/>
    <w:rsid w:val="004F74A8"/>
    <w:rsid w:val="0052053B"/>
    <w:rsid w:val="00532415"/>
    <w:rsid w:val="00532FE3"/>
    <w:rsid w:val="00552283"/>
    <w:rsid w:val="00554209"/>
    <w:rsid w:val="005548CE"/>
    <w:rsid w:val="005604A7"/>
    <w:rsid w:val="00576887"/>
    <w:rsid w:val="00585F3D"/>
    <w:rsid w:val="00593AB4"/>
    <w:rsid w:val="0059477B"/>
    <w:rsid w:val="005A1801"/>
    <w:rsid w:val="005A2B05"/>
    <w:rsid w:val="005B574E"/>
    <w:rsid w:val="005F1B50"/>
    <w:rsid w:val="005F6AA8"/>
    <w:rsid w:val="00605D1F"/>
    <w:rsid w:val="00605F34"/>
    <w:rsid w:val="0061181D"/>
    <w:rsid w:val="00615F13"/>
    <w:rsid w:val="00620419"/>
    <w:rsid w:val="0062215B"/>
    <w:rsid w:val="00637A41"/>
    <w:rsid w:val="00655287"/>
    <w:rsid w:val="0066130D"/>
    <w:rsid w:val="006644BF"/>
    <w:rsid w:val="00666774"/>
    <w:rsid w:val="006671CB"/>
    <w:rsid w:val="006727DC"/>
    <w:rsid w:val="006764F5"/>
    <w:rsid w:val="00683E2C"/>
    <w:rsid w:val="00697C83"/>
    <w:rsid w:val="006B5BE0"/>
    <w:rsid w:val="006D0A75"/>
    <w:rsid w:val="006D6A27"/>
    <w:rsid w:val="006D76EE"/>
    <w:rsid w:val="00701125"/>
    <w:rsid w:val="00717D6B"/>
    <w:rsid w:val="007457C3"/>
    <w:rsid w:val="00745E97"/>
    <w:rsid w:val="00746FD2"/>
    <w:rsid w:val="0075138C"/>
    <w:rsid w:val="00756CCC"/>
    <w:rsid w:val="00757C3E"/>
    <w:rsid w:val="00757F60"/>
    <w:rsid w:val="00794EB9"/>
    <w:rsid w:val="007A1D48"/>
    <w:rsid w:val="007A532E"/>
    <w:rsid w:val="007A5F4C"/>
    <w:rsid w:val="007A7FF0"/>
    <w:rsid w:val="007B7C5F"/>
    <w:rsid w:val="007C5F7C"/>
    <w:rsid w:val="007C634C"/>
    <w:rsid w:val="007C7A77"/>
    <w:rsid w:val="007F653A"/>
    <w:rsid w:val="00803F4D"/>
    <w:rsid w:val="008112F0"/>
    <w:rsid w:val="008140D0"/>
    <w:rsid w:val="00852A95"/>
    <w:rsid w:val="00852EAF"/>
    <w:rsid w:val="00862C3E"/>
    <w:rsid w:val="008730A4"/>
    <w:rsid w:val="008872A9"/>
    <w:rsid w:val="008A1170"/>
    <w:rsid w:val="008B40D2"/>
    <w:rsid w:val="008B43A3"/>
    <w:rsid w:val="008D0429"/>
    <w:rsid w:val="008D0856"/>
    <w:rsid w:val="008D111C"/>
    <w:rsid w:val="008E1623"/>
    <w:rsid w:val="00904EA6"/>
    <w:rsid w:val="00925288"/>
    <w:rsid w:val="00957D22"/>
    <w:rsid w:val="009600D8"/>
    <w:rsid w:val="00962122"/>
    <w:rsid w:val="009666DC"/>
    <w:rsid w:val="009836F3"/>
    <w:rsid w:val="0099097B"/>
    <w:rsid w:val="00993097"/>
    <w:rsid w:val="009931FA"/>
    <w:rsid w:val="00996A6C"/>
    <w:rsid w:val="009A0EEC"/>
    <w:rsid w:val="009A0F7C"/>
    <w:rsid w:val="009B0878"/>
    <w:rsid w:val="009C23DA"/>
    <w:rsid w:val="009C3D39"/>
    <w:rsid w:val="009D04E4"/>
    <w:rsid w:val="009E66EB"/>
    <w:rsid w:val="009F3303"/>
    <w:rsid w:val="009F414F"/>
    <w:rsid w:val="00A17BC3"/>
    <w:rsid w:val="00A32D1B"/>
    <w:rsid w:val="00A433CA"/>
    <w:rsid w:val="00A618C2"/>
    <w:rsid w:val="00A93740"/>
    <w:rsid w:val="00A975A5"/>
    <w:rsid w:val="00AA1E58"/>
    <w:rsid w:val="00AA3C63"/>
    <w:rsid w:val="00AA60B9"/>
    <w:rsid w:val="00AB4313"/>
    <w:rsid w:val="00AB5EBE"/>
    <w:rsid w:val="00AF24CA"/>
    <w:rsid w:val="00B03ECE"/>
    <w:rsid w:val="00B22022"/>
    <w:rsid w:val="00B225DB"/>
    <w:rsid w:val="00B27834"/>
    <w:rsid w:val="00B312E8"/>
    <w:rsid w:val="00B514E5"/>
    <w:rsid w:val="00B5632E"/>
    <w:rsid w:val="00B6352A"/>
    <w:rsid w:val="00B81E9B"/>
    <w:rsid w:val="00B85EB7"/>
    <w:rsid w:val="00B905F3"/>
    <w:rsid w:val="00B93DC4"/>
    <w:rsid w:val="00BC590D"/>
    <w:rsid w:val="00BE05CE"/>
    <w:rsid w:val="00BE4E7E"/>
    <w:rsid w:val="00BF21A8"/>
    <w:rsid w:val="00BF3D1A"/>
    <w:rsid w:val="00C112AE"/>
    <w:rsid w:val="00C174D2"/>
    <w:rsid w:val="00C452A1"/>
    <w:rsid w:val="00C50916"/>
    <w:rsid w:val="00C51163"/>
    <w:rsid w:val="00C52B67"/>
    <w:rsid w:val="00C61A45"/>
    <w:rsid w:val="00C775C8"/>
    <w:rsid w:val="00C82D4A"/>
    <w:rsid w:val="00C87206"/>
    <w:rsid w:val="00C95878"/>
    <w:rsid w:val="00CA11C5"/>
    <w:rsid w:val="00CA44FB"/>
    <w:rsid w:val="00CB02C8"/>
    <w:rsid w:val="00CB3810"/>
    <w:rsid w:val="00CC7174"/>
    <w:rsid w:val="00CE07CC"/>
    <w:rsid w:val="00CE08B6"/>
    <w:rsid w:val="00CE4594"/>
    <w:rsid w:val="00CF5FD7"/>
    <w:rsid w:val="00CF6042"/>
    <w:rsid w:val="00D00424"/>
    <w:rsid w:val="00D05A44"/>
    <w:rsid w:val="00D143B1"/>
    <w:rsid w:val="00D2762D"/>
    <w:rsid w:val="00D44C9C"/>
    <w:rsid w:val="00D4556A"/>
    <w:rsid w:val="00D63F2D"/>
    <w:rsid w:val="00D669D7"/>
    <w:rsid w:val="00D70D62"/>
    <w:rsid w:val="00D7180A"/>
    <w:rsid w:val="00D9259D"/>
    <w:rsid w:val="00DA6986"/>
    <w:rsid w:val="00DB0054"/>
    <w:rsid w:val="00DB1C4F"/>
    <w:rsid w:val="00DC120C"/>
    <w:rsid w:val="00DC2349"/>
    <w:rsid w:val="00DC331E"/>
    <w:rsid w:val="00DC370E"/>
    <w:rsid w:val="00DE64B4"/>
    <w:rsid w:val="00E00864"/>
    <w:rsid w:val="00E126D8"/>
    <w:rsid w:val="00E17580"/>
    <w:rsid w:val="00E52CB1"/>
    <w:rsid w:val="00E6437C"/>
    <w:rsid w:val="00E739BF"/>
    <w:rsid w:val="00E871F3"/>
    <w:rsid w:val="00E94FFB"/>
    <w:rsid w:val="00EB3C3A"/>
    <w:rsid w:val="00EB768C"/>
    <w:rsid w:val="00ED2C68"/>
    <w:rsid w:val="00ED4755"/>
    <w:rsid w:val="00EE34B9"/>
    <w:rsid w:val="00EE5364"/>
    <w:rsid w:val="00EF3F0C"/>
    <w:rsid w:val="00EF41A8"/>
    <w:rsid w:val="00EF4DC4"/>
    <w:rsid w:val="00EF74CE"/>
    <w:rsid w:val="00F06E7A"/>
    <w:rsid w:val="00F1384B"/>
    <w:rsid w:val="00F26BC2"/>
    <w:rsid w:val="00F42545"/>
    <w:rsid w:val="00F47B88"/>
    <w:rsid w:val="00F659DD"/>
    <w:rsid w:val="00F67286"/>
    <w:rsid w:val="00F73C4B"/>
    <w:rsid w:val="00F73D1A"/>
    <w:rsid w:val="00F87798"/>
    <w:rsid w:val="00FC7860"/>
    <w:rsid w:val="00FE204F"/>
    <w:rsid w:val="00FE2A86"/>
    <w:rsid w:val="00FE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421D78-F964-49AF-8CAE-3F0CD725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0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bp">
    <w:name w:val="gb_p"/>
    <w:basedOn w:val="DefaultParagraphFont"/>
    <w:uiPriority w:val="99"/>
    <w:rsid w:val="00A17BC3"/>
    <w:rPr>
      <w:rFonts w:cs="Times New Roman"/>
    </w:rPr>
  </w:style>
  <w:style w:type="character" w:styleId="Hyperlink">
    <w:name w:val="Hyperlink"/>
    <w:basedOn w:val="DefaultParagraphFont"/>
    <w:uiPriority w:val="99"/>
    <w:rsid w:val="00A17BC3"/>
    <w:rPr>
      <w:rFonts w:cs="Times New Roman"/>
      <w:color w:val="0000FF"/>
      <w:u w:val="single"/>
    </w:rPr>
  </w:style>
  <w:style w:type="paragraph" w:styleId="z-TopofForm">
    <w:name w:val="HTML Top of Form"/>
    <w:basedOn w:val="Normal"/>
    <w:next w:val="Normal"/>
    <w:link w:val="z-TopofFormChar"/>
    <w:hidden/>
    <w:uiPriority w:val="99"/>
    <w:rsid w:val="00A17BC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A17BC3"/>
    <w:rPr>
      <w:rFonts w:ascii="Arial" w:hAnsi="Arial" w:cs="Arial"/>
      <w:vanish/>
      <w:sz w:val="16"/>
      <w:szCs w:val="16"/>
    </w:rPr>
  </w:style>
  <w:style w:type="paragraph" w:styleId="z-BottomofForm">
    <w:name w:val="HTML Bottom of Form"/>
    <w:basedOn w:val="Normal"/>
    <w:next w:val="Normal"/>
    <w:link w:val="z-BottomofFormChar"/>
    <w:hidden/>
    <w:uiPriority w:val="99"/>
    <w:rsid w:val="00A17BC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A17BC3"/>
    <w:rPr>
      <w:rFonts w:ascii="Arial" w:hAnsi="Arial" w:cs="Arial"/>
      <w:vanish/>
      <w:sz w:val="16"/>
      <w:szCs w:val="16"/>
    </w:rPr>
  </w:style>
  <w:style w:type="character" w:customStyle="1" w:styleId="gt-ft-text">
    <w:name w:val="gt-ft-text"/>
    <w:basedOn w:val="DefaultParagraphFont"/>
    <w:uiPriority w:val="99"/>
    <w:rsid w:val="00A17BC3"/>
    <w:rPr>
      <w:rFonts w:cs="Times New Roman"/>
    </w:rPr>
  </w:style>
  <w:style w:type="paragraph" w:styleId="Header">
    <w:name w:val="header"/>
    <w:basedOn w:val="Normal"/>
    <w:link w:val="HeaderChar"/>
    <w:uiPriority w:val="99"/>
    <w:rsid w:val="007F653A"/>
    <w:pPr>
      <w:tabs>
        <w:tab w:val="center" w:pos="4320"/>
        <w:tab w:val="right" w:pos="8640"/>
      </w:tabs>
    </w:pPr>
  </w:style>
  <w:style w:type="character" w:customStyle="1" w:styleId="HeaderChar">
    <w:name w:val="Header Char"/>
    <w:basedOn w:val="DefaultParagraphFont"/>
    <w:link w:val="Header"/>
    <w:uiPriority w:val="99"/>
    <w:locked/>
    <w:rsid w:val="007F653A"/>
    <w:rPr>
      <w:rFonts w:cs="Times New Roman"/>
      <w:sz w:val="24"/>
      <w:szCs w:val="24"/>
    </w:rPr>
  </w:style>
  <w:style w:type="paragraph" w:styleId="Footer">
    <w:name w:val="footer"/>
    <w:basedOn w:val="Normal"/>
    <w:link w:val="FooterChar"/>
    <w:uiPriority w:val="99"/>
    <w:rsid w:val="007F653A"/>
    <w:pPr>
      <w:tabs>
        <w:tab w:val="center" w:pos="4320"/>
        <w:tab w:val="right" w:pos="8640"/>
      </w:tabs>
    </w:pPr>
  </w:style>
  <w:style w:type="character" w:customStyle="1" w:styleId="FooterChar">
    <w:name w:val="Footer Char"/>
    <w:basedOn w:val="DefaultParagraphFont"/>
    <w:link w:val="Footer"/>
    <w:uiPriority w:val="99"/>
    <w:locked/>
    <w:rsid w:val="007F653A"/>
    <w:rPr>
      <w:rFonts w:cs="Times New Roman"/>
      <w:sz w:val="24"/>
      <w:szCs w:val="24"/>
    </w:rPr>
  </w:style>
  <w:style w:type="paragraph" w:styleId="NormalWeb">
    <w:name w:val="Normal (Web)"/>
    <w:basedOn w:val="Normal"/>
    <w:uiPriority w:val="99"/>
    <w:rsid w:val="00EE5364"/>
  </w:style>
  <w:style w:type="character" w:styleId="Strong">
    <w:name w:val="Strong"/>
    <w:basedOn w:val="DefaultParagraphFont"/>
    <w:uiPriority w:val="99"/>
    <w:qFormat/>
    <w:rsid w:val="00EE5364"/>
    <w:rPr>
      <w:rFonts w:cs="Times New Roman"/>
      <w:b/>
      <w:bCs/>
    </w:rPr>
  </w:style>
  <w:style w:type="paragraph" w:styleId="ListParagraph">
    <w:name w:val="List Paragraph"/>
    <w:basedOn w:val="Normal"/>
    <w:uiPriority w:val="99"/>
    <w:qFormat/>
    <w:rsid w:val="000B7F12"/>
    <w:pPr>
      <w:ind w:left="720"/>
      <w:contextualSpacing/>
    </w:pPr>
  </w:style>
  <w:style w:type="character" w:styleId="PageNumber">
    <w:name w:val="page number"/>
    <w:basedOn w:val="DefaultParagraphFont"/>
    <w:uiPriority w:val="99"/>
    <w:rsid w:val="00290BEF"/>
    <w:rPr>
      <w:rFonts w:cs="Times New Roman"/>
    </w:rPr>
  </w:style>
  <w:style w:type="paragraph" w:styleId="BalloonText">
    <w:name w:val="Balloon Text"/>
    <w:basedOn w:val="Normal"/>
    <w:link w:val="BalloonTextChar"/>
    <w:uiPriority w:val="99"/>
    <w:rsid w:val="00290BEF"/>
    <w:rPr>
      <w:rFonts w:ascii="Tahoma" w:hAnsi="Tahoma" w:cs="Tahoma"/>
      <w:sz w:val="16"/>
      <w:szCs w:val="16"/>
    </w:rPr>
  </w:style>
  <w:style w:type="character" w:customStyle="1" w:styleId="BalloonTextChar">
    <w:name w:val="Balloon Text Char"/>
    <w:basedOn w:val="DefaultParagraphFont"/>
    <w:link w:val="BalloonText"/>
    <w:uiPriority w:val="99"/>
    <w:locked/>
    <w:rsid w:val="00290BEF"/>
    <w:rPr>
      <w:rFonts w:ascii="Tahoma" w:hAnsi="Tahoma" w:cs="Tahoma"/>
      <w:sz w:val="16"/>
      <w:szCs w:val="16"/>
    </w:rPr>
  </w:style>
  <w:style w:type="character" w:styleId="FollowedHyperlink">
    <w:name w:val="FollowedHyperlink"/>
    <w:basedOn w:val="DefaultParagraphFont"/>
    <w:uiPriority w:val="99"/>
    <w:rsid w:val="00757C3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0687">
      <w:marLeft w:val="0"/>
      <w:marRight w:val="0"/>
      <w:marTop w:val="0"/>
      <w:marBottom w:val="0"/>
      <w:divBdr>
        <w:top w:val="none" w:sz="0" w:space="0" w:color="auto"/>
        <w:left w:val="none" w:sz="0" w:space="0" w:color="auto"/>
        <w:bottom w:val="none" w:sz="0" w:space="0" w:color="auto"/>
        <w:right w:val="none" w:sz="0" w:space="0" w:color="auto"/>
      </w:divBdr>
      <w:divsChild>
        <w:div w:id="479230686">
          <w:marLeft w:val="0"/>
          <w:marRight w:val="0"/>
          <w:marTop w:val="0"/>
          <w:marBottom w:val="0"/>
          <w:divBdr>
            <w:top w:val="none" w:sz="0" w:space="0" w:color="auto"/>
            <w:left w:val="none" w:sz="0" w:space="0" w:color="auto"/>
            <w:bottom w:val="none" w:sz="0" w:space="0" w:color="auto"/>
            <w:right w:val="none" w:sz="0" w:space="0" w:color="auto"/>
          </w:divBdr>
          <w:divsChild>
            <w:div w:id="479230696">
              <w:marLeft w:val="0"/>
              <w:marRight w:val="0"/>
              <w:marTop w:val="0"/>
              <w:marBottom w:val="0"/>
              <w:divBdr>
                <w:top w:val="none" w:sz="0" w:space="0" w:color="auto"/>
                <w:left w:val="none" w:sz="0" w:space="0" w:color="auto"/>
                <w:bottom w:val="none" w:sz="0" w:space="0" w:color="auto"/>
                <w:right w:val="none" w:sz="0" w:space="0" w:color="auto"/>
              </w:divBdr>
              <w:divsChild>
                <w:div w:id="479230710">
                  <w:marLeft w:val="0"/>
                  <w:marRight w:val="0"/>
                  <w:marTop w:val="0"/>
                  <w:marBottom w:val="0"/>
                  <w:divBdr>
                    <w:top w:val="none" w:sz="0" w:space="0" w:color="auto"/>
                    <w:left w:val="none" w:sz="0" w:space="0" w:color="auto"/>
                    <w:bottom w:val="none" w:sz="0" w:space="0" w:color="auto"/>
                    <w:right w:val="none" w:sz="0" w:space="0" w:color="auto"/>
                  </w:divBdr>
                  <w:divsChild>
                    <w:div w:id="479230689">
                      <w:marLeft w:val="0"/>
                      <w:marRight w:val="0"/>
                      <w:marTop w:val="0"/>
                      <w:marBottom w:val="0"/>
                      <w:divBdr>
                        <w:top w:val="none" w:sz="0" w:space="0" w:color="auto"/>
                        <w:left w:val="none" w:sz="0" w:space="0" w:color="auto"/>
                        <w:bottom w:val="none" w:sz="0" w:space="0" w:color="auto"/>
                        <w:right w:val="none" w:sz="0" w:space="0" w:color="auto"/>
                      </w:divBdr>
                      <w:divsChild>
                        <w:div w:id="479230704">
                          <w:marLeft w:val="0"/>
                          <w:marRight w:val="0"/>
                          <w:marTop w:val="0"/>
                          <w:marBottom w:val="0"/>
                          <w:divBdr>
                            <w:top w:val="none" w:sz="0" w:space="0" w:color="auto"/>
                            <w:left w:val="none" w:sz="0" w:space="0" w:color="auto"/>
                            <w:bottom w:val="none" w:sz="0" w:space="0" w:color="auto"/>
                            <w:right w:val="none" w:sz="0" w:space="0" w:color="auto"/>
                          </w:divBdr>
                          <w:divsChild>
                            <w:div w:id="4792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30690">
          <w:marLeft w:val="0"/>
          <w:marRight w:val="0"/>
          <w:marTop w:val="0"/>
          <w:marBottom w:val="0"/>
          <w:divBdr>
            <w:top w:val="none" w:sz="0" w:space="0" w:color="auto"/>
            <w:left w:val="none" w:sz="0" w:space="0" w:color="auto"/>
            <w:bottom w:val="none" w:sz="0" w:space="0" w:color="auto"/>
            <w:right w:val="none" w:sz="0" w:space="0" w:color="auto"/>
          </w:divBdr>
          <w:divsChild>
            <w:div w:id="479230694">
              <w:marLeft w:val="0"/>
              <w:marRight w:val="0"/>
              <w:marTop w:val="0"/>
              <w:marBottom w:val="0"/>
              <w:divBdr>
                <w:top w:val="none" w:sz="0" w:space="0" w:color="auto"/>
                <w:left w:val="none" w:sz="0" w:space="0" w:color="auto"/>
                <w:bottom w:val="none" w:sz="0" w:space="0" w:color="auto"/>
                <w:right w:val="none" w:sz="0" w:space="0" w:color="auto"/>
              </w:divBdr>
              <w:divsChild>
                <w:div w:id="479230688">
                  <w:marLeft w:val="0"/>
                  <w:marRight w:val="0"/>
                  <w:marTop w:val="0"/>
                  <w:marBottom w:val="0"/>
                  <w:divBdr>
                    <w:top w:val="none" w:sz="0" w:space="0" w:color="auto"/>
                    <w:left w:val="none" w:sz="0" w:space="0" w:color="auto"/>
                    <w:bottom w:val="none" w:sz="0" w:space="0" w:color="auto"/>
                    <w:right w:val="none" w:sz="0" w:space="0" w:color="auto"/>
                  </w:divBdr>
                  <w:divsChild>
                    <w:div w:id="479230707">
                      <w:marLeft w:val="0"/>
                      <w:marRight w:val="0"/>
                      <w:marTop w:val="0"/>
                      <w:marBottom w:val="0"/>
                      <w:divBdr>
                        <w:top w:val="none" w:sz="0" w:space="0" w:color="auto"/>
                        <w:left w:val="none" w:sz="0" w:space="0" w:color="auto"/>
                        <w:bottom w:val="none" w:sz="0" w:space="0" w:color="auto"/>
                        <w:right w:val="none" w:sz="0" w:space="0" w:color="auto"/>
                      </w:divBdr>
                      <w:divsChild>
                        <w:div w:id="479230705">
                          <w:marLeft w:val="0"/>
                          <w:marRight w:val="0"/>
                          <w:marTop w:val="0"/>
                          <w:marBottom w:val="0"/>
                          <w:divBdr>
                            <w:top w:val="none" w:sz="0" w:space="0" w:color="auto"/>
                            <w:left w:val="none" w:sz="0" w:space="0" w:color="auto"/>
                            <w:bottom w:val="none" w:sz="0" w:space="0" w:color="auto"/>
                            <w:right w:val="none" w:sz="0" w:space="0" w:color="auto"/>
                          </w:divBdr>
                          <w:divsChild>
                            <w:div w:id="479230684">
                              <w:marLeft w:val="0"/>
                              <w:marRight w:val="0"/>
                              <w:marTop w:val="0"/>
                              <w:marBottom w:val="0"/>
                              <w:divBdr>
                                <w:top w:val="none" w:sz="0" w:space="0" w:color="auto"/>
                                <w:left w:val="none" w:sz="0" w:space="0" w:color="auto"/>
                                <w:bottom w:val="none" w:sz="0" w:space="0" w:color="auto"/>
                                <w:right w:val="none" w:sz="0" w:space="0" w:color="auto"/>
                              </w:divBdr>
                              <w:divsChild>
                                <w:div w:id="479230706">
                                  <w:marLeft w:val="0"/>
                                  <w:marRight w:val="0"/>
                                  <w:marTop w:val="0"/>
                                  <w:marBottom w:val="0"/>
                                  <w:divBdr>
                                    <w:top w:val="none" w:sz="0" w:space="0" w:color="auto"/>
                                    <w:left w:val="none" w:sz="0" w:space="0" w:color="auto"/>
                                    <w:bottom w:val="none" w:sz="0" w:space="0" w:color="auto"/>
                                    <w:right w:val="none" w:sz="0" w:space="0" w:color="auto"/>
                                  </w:divBdr>
                                  <w:divsChild>
                                    <w:div w:id="4792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30703">
              <w:marLeft w:val="0"/>
              <w:marRight w:val="0"/>
              <w:marTop w:val="0"/>
              <w:marBottom w:val="0"/>
              <w:divBdr>
                <w:top w:val="none" w:sz="0" w:space="0" w:color="auto"/>
                <w:left w:val="none" w:sz="0" w:space="0" w:color="auto"/>
                <w:bottom w:val="none" w:sz="0" w:space="0" w:color="auto"/>
                <w:right w:val="none" w:sz="0" w:space="0" w:color="auto"/>
              </w:divBdr>
            </w:div>
          </w:divsChild>
        </w:div>
        <w:div w:id="479230697">
          <w:marLeft w:val="0"/>
          <w:marRight w:val="0"/>
          <w:marTop w:val="0"/>
          <w:marBottom w:val="0"/>
          <w:divBdr>
            <w:top w:val="none" w:sz="0" w:space="0" w:color="auto"/>
            <w:left w:val="none" w:sz="0" w:space="0" w:color="auto"/>
            <w:bottom w:val="none" w:sz="0" w:space="0" w:color="auto"/>
            <w:right w:val="none" w:sz="0" w:space="0" w:color="auto"/>
          </w:divBdr>
          <w:divsChild>
            <w:div w:id="479230698">
              <w:marLeft w:val="0"/>
              <w:marRight w:val="0"/>
              <w:marTop w:val="0"/>
              <w:marBottom w:val="0"/>
              <w:divBdr>
                <w:top w:val="none" w:sz="0" w:space="0" w:color="auto"/>
                <w:left w:val="none" w:sz="0" w:space="0" w:color="auto"/>
                <w:bottom w:val="none" w:sz="0" w:space="0" w:color="auto"/>
                <w:right w:val="none" w:sz="0" w:space="0" w:color="auto"/>
              </w:divBdr>
              <w:divsChild>
                <w:div w:id="479230702">
                  <w:marLeft w:val="0"/>
                  <w:marRight w:val="0"/>
                  <w:marTop w:val="0"/>
                  <w:marBottom w:val="0"/>
                  <w:divBdr>
                    <w:top w:val="none" w:sz="0" w:space="0" w:color="auto"/>
                    <w:left w:val="none" w:sz="0" w:space="0" w:color="auto"/>
                    <w:bottom w:val="none" w:sz="0" w:space="0" w:color="auto"/>
                    <w:right w:val="none" w:sz="0" w:space="0" w:color="auto"/>
                  </w:divBdr>
                  <w:divsChild>
                    <w:div w:id="479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700">
              <w:marLeft w:val="0"/>
              <w:marRight w:val="0"/>
              <w:marTop w:val="0"/>
              <w:marBottom w:val="0"/>
              <w:divBdr>
                <w:top w:val="none" w:sz="0" w:space="0" w:color="auto"/>
                <w:left w:val="none" w:sz="0" w:space="0" w:color="auto"/>
                <w:bottom w:val="none" w:sz="0" w:space="0" w:color="auto"/>
                <w:right w:val="none" w:sz="0" w:space="0" w:color="auto"/>
              </w:divBdr>
              <w:divsChild>
                <w:div w:id="479230695">
                  <w:marLeft w:val="0"/>
                  <w:marRight w:val="0"/>
                  <w:marTop w:val="0"/>
                  <w:marBottom w:val="0"/>
                  <w:divBdr>
                    <w:top w:val="none" w:sz="0" w:space="0" w:color="auto"/>
                    <w:left w:val="none" w:sz="0" w:space="0" w:color="auto"/>
                    <w:bottom w:val="none" w:sz="0" w:space="0" w:color="auto"/>
                    <w:right w:val="none" w:sz="0" w:space="0" w:color="auto"/>
                  </w:divBdr>
                  <w:divsChild>
                    <w:div w:id="479230711">
                      <w:marLeft w:val="0"/>
                      <w:marRight w:val="0"/>
                      <w:marTop w:val="0"/>
                      <w:marBottom w:val="0"/>
                      <w:divBdr>
                        <w:top w:val="none" w:sz="0" w:space="0" w:color="auto"/>
                        <w:left w:val="none" w:sz="0" w:space="0" w:color="auto"/>
                        <w:bottom w:val="none" w:sz="0" w:space="0" w:color="auto"/>
                        <w:right w:val="none" w:sz="0" w:space="0" w:color="auto"/>
                      </w:divBdr>
                      <w:divsChild>
                        <w:div w:id="4792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30708">
          <w:marLeft w:val="0"/>
          <w:marRight w:val="0"/>
          <w:marTop w:val="0"/>
          <w:marBottom w:val="0"/>
          <w:divBdr>
            <w:top w:val="none" w:sz="0" w:space="0" w:color="auto"/>
            <w:left w:val="none" w:sz="0" w:space="0" w:color="auto"/>
            <w:bottom w:val="none" w:sz="0" w:space="0" w:color="auto"/>
            <w:right w:val="none" w:sz="0" w:space="0" w:color="auto"/>
          </w:divBdr>
          <w:divsChild>
            <w:div w:id="479230682">
              <w:marLeft w:val="0"/>
              <w:marRight w:val="0"/>
              <w:marTop w:val="0"/>
              <w:marBottom w:val="0"/>
              <w:divBdr>
                <w:top w:val="none" w:sz="0" w:space="0" w:color="auto"/>
                <w:left w:val="none" w:sz="0" w:space="0" w:color="auto"/>
                <w:bottom w:val="none" w:sz="0" w:space="0" w:color="auto"/>
                <w:right w:val="none" w:sz="0" w:space="0" w:color="auto"/>
              </w:divBdr>
              <w:divsChild>
                <w:div w:id="479230709">
                  <w:marLeft w:val="0"/>
                  <w:marRight w:val="0"/>
                  <w:marTop w:val="0"/>
                  <w:marBottom w:val="0"/>
                  <w:divBdr>
                    <w:top w:val="none" w:sz="0" w:space="0" w:color="auto"/>
                    <w:left w:val="none" w:sz="0" w:space="0" w:color="auto"/>
                    <w:bottom w:val="none" w:sz="0" w:space="0" w:color="auto"/>
                    <w:right w:val="none" w:sz="0" w:space="0" w:color="auto"/>
                  </w:divBdr>
                  <w:divsChild>
                    <w:div w:id="479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30693">
      <w:marLeft w:val="0"/>
      <w:marRight w:val="0"/>
      <w:marTop w:val="0"/>
      <w:marBottom w:val="0"/>
      <w:divBdr>
        <w:top w:val="none" w:sz="0" w:space="0" w:color="auto"/>
        <w:left w:val="none" w:sz="0" w:space="0" w:color="auto"/>
        <w:bottom w:val="none" w:sz="0" w:space="0" w:color="auto"/>
        <w:right w:val="none" w:sz="0" w:space="0" w:color="auto"/>
      </w:divBdr>
    </w:div>
    <w:div w:id="479230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si.gov.cy/mlsi/dli/dliup.nsf/All/53C289A8FCBF8C96C2257E21003B2F26/$file/Methodology_Assessment_Safety_Report.pdf" TargetMode="External"/><Relationship Id="rId3" Type="http://schemas.openxmlformats.org/officeDocument/2006/relationships/settings" Target="settings.xml"/><Relationship Id="rId7" Type="http://schemas.openxmlformats.org/officeDocument/2006/relationships/hyperlink" Target="http://www.iadc.org/iadc-hse-case-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9334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Loizidou  Eleni</cp:lastModifiedBy>
  <cp:revision>2</cp:revision>
  <cp:lastPrinted>2015-12-28T09:47:00Z</cp:lastPrinted>
  <dcterms:created xsi:type="dcterms:W3CDTF">2016-10-04T06:35:00Z</dcterms:created>
  <dcterms:modified xsi:type="dcterms:W3CDTF">2016-10-04T06:35:00Z</dcterms:modified>
</cp:coreProperties>
</file>